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EF7BAF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8D4715">
              <w:rPr>
                <w:sz w:val="22"/>
                <w:szCs w:val="22"/>
              </w:rPr>
              <w:t>22.11.2023 № 1752</w:t>
            </w:r>
            <w:bookmarkStart w:id="0" w:name="_GoBack"/>
            <w:bookmarkEnd w:id="0"/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1E298E" w:rsidRDefault="0051202B" w:rsidP="001E298E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51202B">
        <w:rPr>
          <w:sz w:val="28"/>
          <w:szCs w:val="28"/>
        </w:rPr>
        <w:t>земельного участка с расположенным на нем объект</w:t>
      </w:r>
      <w:r w:rsidR="00BB2165">
        <w:rPr>
          <w:sz w:val="28"/>
          <w:szCs w:val="28"/>
        </w:rPr>
        <w:t>ом</w:t>
      </w:r>
      <w:r w:rsidRPr="0051202B">
        <w:rPr>
          <w:sz w:val="28"/>
          <w:szCs w:val="28"/>
        </w:rPr>
        <w:t xml:space="preserve"> недвижимого имущества, </w:t>
      </w:r>
    </w:p>
    <w:p w:rsidR="00237E56" w:rsidRPr="00397422" w:rsidRDefault="0051202B" w:rsidP="00EF7BAF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51202B">
        <w:rPr>
          <w:sz w:val="28"/>
          <w:szCs w:val="28"/>
        </w:rPr>
        <w:t xml:space="preserve">по адресу: </w:t>
      </w:r>
      <w:r w:rsidR="00EF7BAF" w:rsidRPr="00EF7BAF">
        <w:rPr>
          <w:sz w:val="28"/>
          <w:szCs w:val="28"/>
        </w:rPr>
        <w:t>Чувашская Республика, г. Новочебокс</w:t>
      </w:r>
      <w:r w:rsidR="00EF7BAF">
        <w:rPr>
          <w:sz w:val="28"/>
          <w:szCs w:val="28"/>
        </w:rPr>
        <w:t>арск, ул. Коммунистическая, вл. </w:t>
      </w:r>
      <w:r w:rsidR="00EF7BAF" w:rsidRPr="00EF7BAF">
        <w:rPr>
          <w:sz w:val="28"/>
          <w:szCs w:val="28"/>
        </w:rPr>
        <w:t>9А, гараж-бокс №32</w:t>
      </w:r>
      <w:r w:rsidR="00DA501A">
        <w:rPr>
          <w:sz w:val="28"/>
          <w:szCs w:val="28"/>
        </w:rPr>
        <w:t>4-325</w:t>
      </w:r>
      <w:r w:rsidR="00EF7BAF" w:rsidRPr="00EF7BAF">
        <w:rPr>
          <w:sz w:val="28"/>
          <w:szCs w:val="28"/>
        </w:rPr>
        <w:t xml:space="preserve"> в гаражном кооперативе №1 «Строитель»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EF7BAF">
        <w:rPr>
          <w:rFonts w:eastAsia="SimSun"/>
          <w:iCs/>
          <w:kern w:val="1"/>
          <w:sz w:val="22"/>
          <w:szCs w:val="22"/>
          <w:lang w:eastAsia="ar-SA"/>
        </w:rPr>
        <w:t>3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4E4174" w:rsidRPr="004E4174">
        <w:rPr>
          <w:sz w:val="22"/>
          <w:szCs w:val="22"/>
        </w:rPr>
        <w:t>Прогнозным планом (программой) приватизации муниципального имущества на 20</w:t>
      </w:r>
      <w:r w:rsidR="00045EDE">
        <w:rPr>
          <w:sz w:val="22"/>
          <w:szCs w:val="22"/>
          <w:lang w:val="ru-RU"/>
        </w:rPr>
        <w:t>2</w:t>
      </w:r>
      <w:r w:rsidR="00EF7BAF">
        <w:rPr>
          <w:sz w:val="22"/>
          <w:szCs w:val="22"/>
          <w:lang w:val="ru-RU"/>
        </w:rPr>
        <w:t>3</w:t>
      </w:r>
      <w:r w:rsidR="004E4174" w:rsidRPr="004E4174">
        <w:rPr>
          <w:sz w:val="22"/>
          <w:szCs w:val="22"/>
        </w:rPr>
        <w:t xml:space="preserve"> год и основными направлениями приватизации муниципального имущества на 20</w:t>
      </w:r>
      <w:r w:rsidR="00045EDE">
        <w:rPr>
          <w:sz w:val="22"/>
          <w:szCs w:val="22"/>
          <w:lang w:val="ru-RU"/>
        </w:rPr>
        <w:t>2</w:t>
      </w:r>
      <w:r w:rsidR="00EF7BAF">
        <w:rPr>
          <w:sz w:val="22"/>
          <w:szCs w:val="22"/>
          <w:lang w:val="ru-RU"/>
        </w:rPr>
        <w:t>3</w:t>
      </w:r>
      <w:r w:rsidR="004E4174" w:rsidRPr="004E4174">
        <w:rPr>
          <w:sz w:val="22"/>
          <w:szCs w:val="22"/>
        </w:rPr>
        <w:t>-202</w:t>
      </w:r>
      <w:r w:rsidR="00EF7BAF">
        <w:rPr>
          <w:sz w:val="22"/>
          <w:szCs w:val="22"/>
          <w:lang w:val="ru-RU"/>
        </w:rPr>
        <w:t>5</w:t>
      </w:r>
      <w:r w:rsidR="004E4174" w:rsidRPr="004E4174">
        <w:rPr>
          <w:sz w:val="22"/>
          <w:szCs w:val="22"/>
        </w:rPr>
        <w:t xml:space="preserve"> годы, утвержденными решением Новочебоксарского городского Собрания депутатов Чувашской Республики от </w:t>
      </w:r>
      <w:r w:rsidR="00EF7BAF">
        <w:rPr>
          <w:sz w:val="22"/>
          <w:szCs w:val="22"/>
          <w:lang w:val="ru-RU"/>
        </w:rPr>
        <w:t>14.09.2023</w:t>
      </w:r>
      <w:r w:rsidR="004E4174" w:rsidRPr="004E4174">
        <w:rPr>
          <w:sz w:val="22"/>
          <w:szCs w:val="22"/>
        </w:rPr>
        <w:t xml:space="preserve"> № С </w:t>
      </w:r>
      <w:r w:rsidR="00EF7BAF">
        <w:rPr>
          <w:sz w:val="22"/>
          <w:szCs w:val="22"/>
          <w:lang w:val="ru-RU"/>
        </w:rPr>
        <w:t>47-3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муниципального имущества города Новочебоксарска Чувашской Республики – </w:t>
      </w:r>
      <w:r w:rsidR="00A753D9" w:rsidRPr="00A753D9">
        <w:rPr>
          <w:sz w:val="22"/>
          <w:szCs w:val="22"/>
        </w:rPr>
        <w:t xml:space="preserve">земельного участка с расположенным на нем объектом недвижимого имущества, по адресу: </w:t>
      </w:r>
      <w:r w:rsidR="00EF7BAF" w:rsidRPr="00EF7BAF">
        <w:rPr>
          <w:sz w:val="22"/>
          <w:szCs w:val="22"/>
        </w:rPr>
        <w:t>Чувашская Республика, г. Новочебоксарск, ул. Коммунистическая, вл. 9А, гараж-бокс №32</w:t>
      </w:r>
      <w:r w:rsidR="00DA501A">
        <w:rPr>
          <w:sz w:val="22"/>
          <w:szCs w:val="22"/>
          <w:lang w:val="ru-RU"/>
        </w:rPr>
        <w:t>4-325</w:t>
      </w:r>
      <w:r w:rsidR="00EF7BAF" w:rsidRPr="00EF7BAF">
        <w:rPr>
          <w:sz w:val="22"/>
          <w:szCs w:val="22"/>
        </w:rPr>
        <w:t xml:space="preserve"> в гаражном кооперативе №1 «Строитель»</w:t>
      </w:r>
      <w:r w:rsidR="003A5E2F" w:rsidRPr="00294D75">
        <w:rPr>
          <w:sz w:val="22"/>
          <w:szCs w:val="22"/>
        </w:rPr>
        <w:t xml:space="preserve">, 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EF7BAF">
        <w:rPr>
          <w:sz w:val="22"/>
          <w:szCs w:val="22"/>
          <w:lang w:val="ru-RU"/>
        </w:rPr>
        <w:t>15.11.2023</w:t>
      </w:r>
      <w:r w:rsidR="00294D75" w:rsidRPr="00294D75">
        <w:rPr>
          <w:sz w:val="22"/>
          <w:szCs w:val="22"/>
        </w:rPr>
        <w:t xml:space="preserve"> № </w:t>
      </w:r>
      <w:r w:rsidR="00EF7BAF">
        <w:rPr>
          <w:sz w:val="22"/>
          <w:szCs w:val="22"/>
          <w:lang w:val="ru-RU"/>
        </w:rPr>
        <w:t>170</w:t>
      </w:r>
      <w:r w:rsidR="00DA501A">
        <w:rPr>
          <w:sz w:val="22"/>
          <w:szCs w:val="22"/>
          <w:lang w:val="ru-RU"/>
        </w:rPr>
        <w:t>4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>Об утверждении решения об условиях приватизации земельного участка с расположенным на нем объект</w:t>
      </w:r>
      <w:r w:rsidR="00A753D9">
        <w:rPr>
          <w:sz w:val="22"/>
          <w:szCs w:val="22"/>
          <w:lang w:val="ru-RU"/>
        </w:rPr>
        <w:t>ом</w:t>
      </w:r>
      <w:r w:rsidR="00754896" w:rsidRPr="00754896">
        <w:rPr>
          <w:sz w:val="22"/>
          <w:szCs w:val="22"/>
        </w:rPr>
        <w:t xml:space="preserve"> недвижимого имущества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lastRenderedPageBreak/>
        <w:t>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="000156B0" w:rsidRPr="00397422">
        <w:rPr>
          <w:bCs/>
          <w:color w:val="0000FF"/>
          <w:sz w:val="22"/>
          <w:szCs w:val="22"/>
          <w:u w:val="single"/>
          <w:lang w:eastAsia="ar-SA"/>
        </w:rPr>
        <w:t>8</w:t>
      </w:r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C521A8">
        <w:rPr>
          <w:rFonts w:ascii="Times New Roman" w:hAnsi="Times New Roman"/>
          <w:b/>
        </w:rPr>
        <w:t>25 декабря 2023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51202B" w:rsidRPr="0051202B">
        <w:rPr>
          <w:sz w:val="22"/>
          <w:szCs w:val="22"/>
        </w:rPr>
        <w:t>земельного участка с расположенным на нем объект</w:t>
      </w:r>
      <w:r w:rsidR="00653CBF">
        <w:rPr>
          <w:sz w:val="22"/>
          <w:szCs w:val="22"/>
        </w:rPr>
        <w:t>ом</w:t>
      </w:r>
      <w:r w:rsidR="0051202B" w:rsidRPr="0051202B">
        <w:rPr>
          <w:sz w:val="22"/>
          <w:szCs w:val="22"/>
        </w:rPr>
        <w:t xml:space="preserve"> недвижимого имущества, </w:t>
      </w:r>
      <w:r w:rsidR="00C521A8" w:rsidRPr="005513B3">
        <w:t>по а</w:t>
      </w:r>
      <w:r w:rsidR="00C521A8" w:rsidRPr="005513B3">
        <w:t>д</w:t>
      </w:r>
      <w:r w:rsidR="00C521A8" w:rsidRPr="005513B3">
        <w:t xml:space="preserve">ресу: </w:t>
      </w:r>
      <w:r w:rsidR="00C521A8">
        <w:t>Чувашская Республика, г. Новочебоксарск, ул. Коммунистическая, вл. 9А, гараж-бокс №32</w:t>
      </w:r>
      <w:r w:rsidR="00DA501A">
        <w:t>4-325</w:t>
      </w:r>
      <w:r w:rsidR="00C521A8">
        <w:t xml:space="preserve"> в гаражном к</w:t>
      </w:r>
      <w:r w:rsidR="00C521A8">
        <w:t>о</w:t>
      </w:r>
      <w:r w:rsidR="00C521A8">
        <w:t>оперативе №1 «Строитель»</w:t>
      </w:r>
      <w:r w:rsidRPr="005112C6">
        <w:rPr>
          <w:sz w:val="22"/>
          <w:szCs w:val="22"/>
        </w:rPr>
        <w:t xml:space="preserve">, </w:t>
      </w:r>
      <w:r w:rsidR="00ED0FEF">
        <w:rPr>
          <w:sz w:val="22"/>
          <w:szCs w:val="22"/>
        </w:rPr>
        <w:t>утвержденное</w:t>
      </w:r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администрации города Новочебоксарска</w:t>
      </w:r>
      <w:r w:rsidR="0065221F" w:rsidRPr="005112C6">
        <w:rPr>
          <w:sz w:val="22"/>
          <w:szCs w:val="22"/>
        </w:rPr>
        <w:t xml:space="preserve"> Чува</w:t>
      </w:r>
      <w:r w:rsidR="0065221F" w:rsidRPr="005112C6">
        <w:rPr>
          <w:sz w:val="22"/>
          <w:szCs w:val="22"/>
        </w:rPr>
        <w:t>ш</w:t>
      </w:r>
      <w:r w:rsidR="0065221F" w:rsidRPr="005112C6">
        <w:rPr>
          <w:sz w:val="22"/>
          <w:szCs w:val="22"/>
        </w:rPr>
        <w:t>ской Республики</w:t>
      </w:r>
      <w:r w:rsidRPr="005112C6">
        <w:rPr>
          <w:sz w:val="22"/>
          <w:szCs w:val="22"/>
        </w:rPr>
        <w:t xml:space="preserve"> от </w:t>
      </w:r>
      <w:r w:rsidR="00C521A8">
        <w:rPr>
          <w:sz w:val="22"/>
          <w:szCs w:val="22"/>
        </w:rPr>
        <w:t>15.11.2023 № 170</w:t>
      </w:r>
      <w:r w:rsidR="00DA501A">
        <w:rPr>
          <w:sz w:val="22"/>
          <w:szCs w:val="22"/>
        </w:rPr>
        <w:t>4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1320B0" w:rsidRDefault="00BB05FB" w:rsidP="00FA189B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</w:t>
      </w:r>
      <w:r w:rsidR="00BD6A7B" w:rsidRPr="00397422">
        <w:rPr>
          <w:sz w:val="22"/>
          <w:szCs w:val="22"/>
        </w:rPr>
        <w:t xml:space="preserve">ное имущество </w:t>
      </w:r>
      <w:r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 xml:space="preserve">Чувашской Республики, расположенное </w:t>
      </w:r>
      <w:r w:rsidR="00C521A8" w:rsidRPr="00C521A8">
        <w:rPr>
          <w:sz w:val="22"/>
          <w:szCs w:val="22"/>
        </w:rPr>
        <w:t>по а</w:t>
      </w:r>
      <w:r w:rsidR="00C521A8" w:rsidRPr="00C521A8">
        <w:rPr>
          <w:sz w:val="22"/>
          <w:szCs w:val="22"/>
        </w:rPr>
        <w:t>д</w:t>
      </w:r>
      <w:r w:rsidR="00C521A8" w:rsidRPr="00C521A8">
        <w:rPr>
          <w:sz w:val="22"/>
          <w:szCs w:val="22"/>
        </w:rPr>
        <w:t>ресу: Чувашская Республика, г. Новочебоксарск, ул. Коммунистическая, вл. 9А, гараж-бокс №32</w:t>
      </w:r>
      <w:r w:rsidR="00DA501A">
        <w:rPr>
          <w:sz w:val="22"/>
          <w:szCs w:val="22"/>
        </w:rPr>
        <w:t>4-325</w:t>
      </w:r>
      <w:r w:rsidR="00C521A8" w:rsidRPr="00C521A8">
        <w:rPr>
          <w:sz w:val="22"/>
          <w:szCs w:val="22"/>
        </w:rPr>
        <w:t xml:space="preserve"> в гаражном кооперативе №1 «Строитель»</w:t>
      </w:r>
      <w:r w:rsidR="007D6862" w:rsidRPr="00397422">
        <w:rPr>
          <w:sz w:val="22"/>
          <w:szCs w:val="22"/>
        </w:rPr>
        <w:t>,</w:t>
      </w:r>
      <w:r w:rsidR="00BD6A7B" w:rsidRPr="00397422">
        <w:rPr>
          <w:sz w:val="22"/>
          <w:szCs w:val="22"/>
        </w:rPr>
        <w:t xml:space="preserve"> являющееся казной </w:t>
      </w:r>
      <w:r w:rsidR="00B33DAD"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>Чувашской Респу</w:t>
      </w:r>
      <w:r w:rsidR="00BD6A7B" w:rsidRPr="00397422">
        <w:rPr>
          <w:sz w:val="22"/>
          <w:szCs w:val="22"/>
        </w:rPr>
        <w:t>б</w:t>
      </w:r>
      <w:r w:rsidR="00BD6A7B" w:rsidRPr="00397422">
        <w:rPr>
          <w:sz w:val="22"/>
          <w:szCs w:val="22"/>
        </w:rPr>
        <w:t>лики</w:t>
      </w:r>
      <w:r w:rsidR="00B33DAD" w:rsidRPr="00397422">
        <w:rPr>
          <w:sz w:val="22"/>
          <w:szCs w:val="22"/>
        </w:rPr>
        <w:t xml:space="preserve">: </w:t>
      </w:r>
    </w:p>
    <w:p w:rsidR="001518DB" w:rsidRDefault="001518DB" w:rsidP="00FA189B">
      <w:pPr>
        <w:widowControl/>
        <w:ind w:firstLine="567"/>
        <w:jc w:val="both"/>
        <w:rPr>
          <w:sz w:val="22"/>
          <w:szCs w:val="2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5"/>
        <w:gridCol w:w="3118"/>
      </w:tblGrid>
      <w:tr w:rsidR="00F9486B" w:rsidRPr="00365A29" w:rsidTr="00F9486B">
        <w:tc>
          <w:tcPr>
            <w:tcW w:w="3936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Наименование и </w:t>
            </w:r>
            <w:proofErr w:type="gramStart"/>
            <w:r w:rsidRPr="00365A29">
              <w:rPr>
                <w:b/>
              </w:rPr>
              <w:t>краткая</w:t>
            </w:r>
            <w:proofErr w:type="gramEnd"/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985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(или условный) номер</w:t>
            </w:r>
          </w:p>
        </w:tc>
        <w:tc>
          <w:tcPr>
            <w:tcW w:w="3118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Правоустанавливающий </w:t>
            </w:r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документ</w:t>
            </w:r>
          </w:p>
        </w:tc>
      </w:tr>
      <w:tr w:rsidR="00F9486B" w:rsidRPr="006B64FC" w:rsidTr="00F9486B">
        <w:trPr>
          <w:trHeight w:val="1034"/>
        </w:trPr>
        <w:tc>
          <w:tcPr>
            <w:tcW w:w="3936" w:type="dxa"/>
            <w:vAlign w:val="center"/>
          </w:tcPr>
          <w:p w:rsidR="00F9486B" w:rsidRPr="006B64FC" w:rsidRDefault="00F9486B" w:rsidP="000A3201">
            <w:pPr>
              <w:jc w:val="both"/>
            </w:pPr>
            <w:r w:rsidRPr="006B64FC">
              <w:t>Земельный участок с расположенным на нем следующим объект</w:t>
            </w:r>
            <w:r>
              <w:t>ом</w:t>
            </w:r>
            <w:r w:rsidRPr="006B64FC">
              <w:t xml:space="preserve"> недвижимого имущества:</w:t>
            </w:r>
          </w:p>
        </w:tc>
        <w:tc>
          <w:tcPr>
            <w:tcW w:w="1134" w:type="dxa"/>
            <w:vAlign w:val="center"/>
          </w:tcPr>
          <w:p w:rsidR="00F9486B" w:rsidRPr="006B64FC" w:rsidRDefault="00DA501A" w:rsidP="000A3201">
            <w:pPr>
              <w:jc w:val="center"/>
            </w:pPr>
            <w:r>
              <w:t>107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DA501A">
            <w:pPr>
              <w:widowControl/>
              <w:jc w:val="center"/>
            </w:pPr>
            <w:r w:rsidRPr="00653CBF">
              <w:t>21:02:</w:t>
            </w:r>
            <w:r>
              <w:t>010</w:t>
            </w:r>
            <w:r w:rsidR="00C521A8">
              <w:t>302</w:t>
            </w:r>
            <w:r w:rsidRPr="00653CBF">
              <w:t>:</w:t>
            </w:r>
            <w:r w:rsidR="00C521A8">
              <w:t>136</w:t>
            </w:r>
            <w:r w:rsidR="00DA501A">
              <w:t>4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C521A8">
            <w:pPr>
              <w:jc w:val="center"/>
            </w:pPr>
            <w:r w:rsidRPr="006B64FC">
              <w:t xml:space="preserve">выписка из ЕГРН от </w:t>
            </w:r>
            <w:r w:rsidR="00C521A8">
              <w:t>02.08.2023</w:t>
            </w:r>
            <w:r w:rsidRPr="006B64FC">
              <w:t xml:space="preserve"> </w:t>
            </w:r>
          </w:p>
        </w:tc>
      </w:tr>
      <w:tr w:rsidR="00F9486B" w:rsidRPr="006B64FC" w:rsidTr="00F9486B">
        <w:trPr>
          <w:trHeight w:val="694"/>
        </w:trPr>
        <w:tc>
          <w:tcPr>
            <w:tcW w:w="3936" w:type="dxa"/>
            <w:vAlign w:val="center"/>
          </w:tcPr>
          <w:p w:rsidR="00F9486B" w:rsidRPr="006B64FC" w:rsidRDefault="00F9486B" w:rsidP="00DA50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нежилое помещение (</w:t>
            </w:r>
            <w:r w:rsidRPr="00E94037">
              <w:rPr>
                <w:rFonts w:ascii="Times New Roman" w:hAnsi="Times New Roman" w:cs="Times New Roman"/>
              </w:rPr>
              <w:t>гараж-бокс №</w:t>
            </w:r>
            <w:r w:rsidR="00C521A8">
              <w:rPr>
                <w:rFonts w:ascii="Times New Roman" w:hAnsi="Times New Roman" w:cs="Times New Roman"/>
              </w:rPr>
              <w:t>32</w:t>
            </w:r>
            <w:r w:rsidR="00DA501A">
              <w:rPr>
                <w:rFonts w:ascii="Times New Roman" w:hAnsi="Times New Roman" w:cs="Times New Roman"/>
              </w:rPr>
              <w:t>4-325</w:t>
            </w:r>
            <w:r>
              <w:rPr>
                <w:rFonts w:ascii="Times New Roman" w:hAnsi="Times New Roman" w:cs="Times New Roman"/>
              </w:rPr>
              <w:t>), этажей: 1</w:t>
            </w:r>
          </w:p>
        </w:tc>
        <w:tc>
          <w:tcPr>
            <w:tcW w:w="1134" w:type="dxa"/>
            <w:vAlign w:val="center"/>
          </w:tcPr>
          <w:p w:rsidR="00F9486B" w:rsidRPr="006B64FC" w:rsidRDefault="00DA501A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DA501A">
            <w:pPr>
              <w:widowControl/>
              <w:jc w:val="center"/>
            </w:pPr>
            <w:r w:rsidRPr="00653CBF">
              <w:t>21:02:</w:t>
            </w:r>
            <w:r>
              <w:t>010</w:t>
            </w:r>
            <w:r w:rsidR="00C521A8">
              <w:t>301</w:t>
            </w:r>
            <w:r w:rsidRPr="00653CBF">
              <w:t>:</w:t>
            </w:r>
            <w:r w:rsidR="00C521A8">
              <w:t>179</w:t>
            </w:r>
            <w:r w:rsidR="00DA501A">
              <w:t>4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C521A8">
            <w:pPr>
              <w:jc w:val="center"/>
            </w:pPr>
            <w:r w:rsidRPr="006B64FC">
              <w:t xml:space="preserve">выписка из ЕГРН от </w:t>
            </w:r>
            <w:r w:rsidR="00C521A8">
              <w:t>08.06.2023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3B4539" w:rsidRPr="003B4539" w:rsidRDefault="005A60F3" w:rsidP="00DA501A">
      <w:pPr>
        <w:pStyle w:val="a6"/>
        <w:widowControl/>
        <w:tabs>
          <w:tab w:val="left" w:pos="284"/>
        </w:tabs>
        <w:ind w:firstLine="454"/>
        <w:jc w:val="both"/>
        <w:rPr>
          <w:color w:val="auto"/>
          <w:szCs w:val="22"/>
        </w:rPr>
      </w:pPr>
      <w:r w:rsidRPr="00B10AB1">
        <w:rPr>
          <w:b/>
          <w:color w:val="auto"/>
          <w:szCs w:val="22"/>
        </w:rPr>
        <w:t>Начальная цена продажи</w:t>
      </w:r>
      <w:r w:rsidRPr="00B10AB1">
        <w:rPr>
          <w:color w:val="auto"/>
          <w:szCs w:val="22"/>
        </w:rPr>
        <w:t xml:space="preserve"> </w:t>
      </w:r>
      <w:r w:rsidR="00327EEF" w:rsidRPr="00B10AB1">
        <w:rPr>
          <w:color w:val="auto"/>
          <w:szCs w:val="22"/>
        </w:rPr>
        <w:t xml:space="preserve">определена </w:t>
      </w:r>
      <w:r w:rsidR="00FD4B7E">
        <w:rPr>
          <w:color w:val="auto"/>
          <w:szCs w:val="22"/>
          <w:lang w:val="ru-RU"/>
        </w:rPr>
        <w:t>в</w:t>
      </w:r>
      <w:r w:rsidR="00FD4B7E" w:rsidRPr="00FD4B7E">
        <w:rPr>
          <w:color w:val="auto"/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C521A8" w:rsidRPr="00C521A8">
        <w:t>от 03.10.2023 № 0020-09/23-</w:t>
      </w:r>
      <w:r w:rsidR="00DA501A">
        <w:rPr>
          <w:lang w:val="ru-RU"/>
        </w:rPr>
        <w:t>1</w:t>
      </w:r>
      <w:r w:rsidR="00C521A8" w:rsidRPr="00C521A8">
        <w:t xml:space="preserve">, выполненным частнопрактикующим оценщиком </w:t>
      </w:r>
      <w:proofErr w:type="spellStart"/>
      <w:r w:rsidR="00C521A8" w:rsidRPr="00C521A8">
        <w:t>Песковой</w:t>
      </w:r>
      <w:proofErr w:type="spellEnd"/>
      <w:r w:rsidR="00C521A8" w:rsidRPr="00C521A8">
        <w:t xml:space="preserve"> М.А.</w:t>
      </w:r>
      <w:r w:rsidR="00FD4B7E" w:rsidRPr="00FD4B7E">
        <w:rPr>
          <w:color w:val="auto"/>
          <w:szCs w:val="22"/>
        </w:rPr>
        <w:t>,</w:t>
      </w:r>
      <w:r w:rsidR="00FD4B7E">
        <w:rPr>
          <w:color w:val="auto"/>
          <w:szCs w:val="22"/>
          <w:lang w:val="ru-RU"/>
        </w:rPr>
        <w:t xml:space="preserve"> и</w:t>
      </w:r>
      <w:r w:rsidR="00FD4B7E" w:rsidRPr="00FD4B7E">
        <w:rPr>
          <w:color w:val="auto"/>
          <w:szCs w:val="22"/>
        </w:rPr>
        <w:t xml:space="preserve"> составляет </w:t>
      </w:r>
      <w:r w:rsidR="00DA501A" w:rsidRPr="00DA501A">
        <w:rPr>
          <w:b/>
          <w:color w:val="auto"/>
          <w:szCs w:val="22"/>
        </w:rPr>
        <w:t xml:space="preserve">688 000 (Шестьсот восемьдесят восемь тысяч) </w:t>
      </w:r>
      <w:r w:rsidR="003B4539" w:rsidRPr="003B4539">
        <w:rPr>
          <w:b/>
          <w:color w:val="auto"/>
          <w:szCs w:val="22"/>
        </w:rPr>
        <w:t xml:space="preserve">рублей 00 копеек, </w:t>
      </w:r>
      <w:r w:rsidR="003B4539" w:rsidRPr="003B4539">
        <w:rPr>
          <w:color w:val="auto"/>
          <w:szCs w:val="22"/>
        </w:rPr>
        <w:t>в том числе:</w:t>
      </w:r>
    </w:p>
    <w:p w:rsidR="00DA501A" w:rsidRPr="00DA501A" w:rsidRDefault="00DA501A" w:rsidP="00DA501A">
      <w:pPr>
        <w:pStyle w:val="a6"/>
        <w:widowControl/>
        <w:tabs>
          <w:tab w:val="left" w:pos="284"/>
        </w:tabs>
        <w:ind w:firstLine="454"/>
        <w:jc w:val="both"/>
        <w:rPr>
          <w:color w:val="auto"/>
          <w:szCs w:val="22"/>
        </w:rPr>
      </w:pPr>
      <w:r w:rsidRPr="00DA501A">
        <w:rPr>
          <w:color w:val="auto"/>
          <w:szCs w:val="22"/>
        </w:rPr>
        <w:t xml:space="preserve">стоимость земельного участка составляет 48 160 (Сорок восемь </w:t>
      </w:r>
      <w:r>
        <w:rPr>
          <w:color w:val="auto"/>
          <w:szCs w:val="22"/>
        </w:rPr>
        <w:t xml:space="preserve">тысяч сто шестьдесят) рублей </w:t>
      </w:r>
      <w:r w:rsidRPr="00DA501A">
        <w:t>00копеек</w:t>
      </w:r>
      <w:r w:rsidRPr="00DA501A">
        <w:rPr>
          <w:color w:val="auto"/>
          <w:szCs w:val="22"/>
        </w:rPr>
        <w:t xml:space="preserve"> (налогом на добавленную стоимость не облагается);</w:t>
      </w:r>
    </w:p>
    <w:p w:rsidR="0026627F" w:rsidRPr="003B4539" w:rsidRDefault="00DA501A" w:rsidP="00DA501A">
      <w:pPr>
        <w:pStyle w:val="a6"/>
        <w:widowControl/>
        <w:tabs>
          <w:tab w:val="left" w:pos="284"/>
        </w:tabs>
        <w:ind w:firstLine="454"/>
        <w:jc w:val="both"/>
        <w:rPr>
          <w:color w:val="auto"/>
          <w:szCs w:val="22"/>
          <w:lang w:val="ru-RU"/>
        </w:rPr>
      </w:pPr>
      <w:r w:rsidRPr="00DA501A">
        <w:rPr>
          <w:color w:val="auto"/>
          <w:szCs w:val="22"/>
        </w:rPr>
        <w:t>стоимость расположенного на земельном участке объекта недви</w:t>
      </w:r>
      <w:r>
        <w:rPr>
          <w:color w:val="auto"/>
          <w:szCs w:val="22"/>
        </w:rPr>
        <w:t>жимого имущества составляет 639</w:t>
      </w:r>
      <w:r>
        <w:rPr>
          <w:color w:val="auto"/>
          <w:szCs w:val="22"/>
          <w:lang w:val="ru-RU"/>
        </w:rPr>
        <w:t> </w:t>
      </w:r>
      <w:r w:rsidRPr="00DA501A">
        <w:rPr>
          <w:color w:val="auto"/>
          <w:szCs w:val="22"/>
        </w:rPr>
        <w:t>840 (Шестьсот тридцать девять тысяч восемьсот сорок) рублей 00 копеек с учетом налога на добавленную стоимость</w:t>
      </w:r>
      <w:r w:rsidR="00F511C2" w:rsidRPr="003B4539">
        <w:rPr>
          <w:color w:val="auto"/>
          <w:szCs w:val="22"/>
        </w:rPr>
        <w:t>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DA501A" w:rsidRPr="00DA501A">
        <w:rPr>
          <w:lang w:val="ru-RU"/>
        </w:rPr>
        <w:t>68 800 (Шестьдесят восемь тысяч восемьсот)</w:t>
      </w:r>
      <w:r w:rsidR="00DA501A">
        <w:rPr>
          <w:lang w:val="ru-RU"/>
        </w:rPr>
        <w:t xml:space="preserve"> </w:t>
      </w:r>
      <w:r w:rsidR="003B4539" w:rsidRPr="005513B3">
        <w:t>рубл</w:t>
      </w:r>
      <w:r w:rsidR="003B4539" w:rsidRPr="005513B3">
        <w:rPr>
          <w:lang w:val="ru-RU"/>
        </w:rPr>
        <w:t>ей</w:t>
      </w:r>
      <w:r w:rsidR="003B4539" w:rsidRPr="005513B3">
        <w:t xml:space="preserve"> </w:t>
      </w:r>
      <w:r w:rsidR="003B4539" w:rsidRPr="005513B3">
        <w:rPr>
          <w:lang w:val="ru-RU"/>
        </w:rPr>
        <w:t>00</w:t>
      </w:r>
      <w:r w:rsidR="003B4539">
        <w:rPr>
          <w:lang w:val="ru-RU"/>
        </w:rPr>
        <w:t> </w:t>
      </w:r>
      <w:r w:rsidR="003B4539" w:rsidRPr="005513B3">
        <w:t>копе</w:t>
      </w:r>
      <w:r w:rsidR="003B4539" w:rsidRPr="005513B3">
        <w:rPr>
          <w:lang w:val="ru-RU"/>
        </w:rPr>
        <w:t>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DA501A" w:rsidRPr="00DA501A">
        <w:t>34 400 (Тридцать четыре тысячи четыреста)</w:t>
      </w:r>
      <w:r w:rsidR="003B4539" w:rsidRPr="005513B3">
        <w:t xml:space="preserve"> рублей 00 копеек</w:t>
      </w:r>
      <w:r w:rsidR="006B52B4" w:rsidRPr="0026627F">
        <w:rPr>
          <w:color w:val="auto"/>
          <w:szCs w:val="22"/>
        </w:rPr>
        <w:t>.</w:t>
      </w:r>
    </w:p>
    <w:p w:rsidR="00F9486B" w:rsidRDefault="00F9486B" w:rsidP="00F948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предыдущих торгах: </w:t>
      </w:r>
      <w:r w:rsidR="003B4539">
        <w:rPr>
          <w:sz w:val="22"/>
          <w:szCs w:val="22"/>
        </w:rPr>
        <w:t>нет</w:t>
      </w:r>
      <w:r>
        <w:rPr>
          <w:sz w:val="22"/>
          <w:szCs w:val="22"/>
        </w:rPr>
        <w:t>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5112C6">
        <w:rPr>
          <w:b/>
          <w:sz w:val="22"/>
          <w:szCs w:val="22"/>
        </w:rPr>
        <w:t xml:space="preserve">Начало приема заявок </w:t>
      </w:r>
      <w:r w:rsidRPr="005112C6">
        <w:rPr>
          <w:sz w:val="22"/>
          <w:szCs w:val="22"/>
        </w:rPr>
        <w:t xml:space="preserve">на участие в аукционе – </w:t>
      </w:r>
      <w:r w:rsidR="005747A1">
        <w:rPr>
          <w:b/>
          <w:sz w:val="22"/>
          <w:szCs w:val="22"/>
        </w:rPr>
        <w:t>24 ноября 2023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 xml:space="preserve">Окончание приема заявок </w:t>
      </w:r>
      <w:r w:rsidRPr="005112C6">
        <w:rPr>
          <w:sz w:val="22"/>
          <w:szCs w:val="22"/>
        </w:rPr>
        <w:t>на участие в аукционе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Pr="005112C6">
        <w:rPr>
          <w:b/>
          <w:sz w:val="22"/>
          <w:szCs w:val="22"/>
        </w:rPr>
        <w:t xml:space="preserve">в 23 часов 59 минут </w:t>
      </w:r>
      <w:r w:rsidR="005747A1">
        <w:rPr>
          <w:b/>
          <w:sz w:val="22"/>
          <w:szCs w:val="22"/>
        </w:rPr>
        <w:t>18 декабря 2023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>Дата определения участников аукциона</w:t>
      </w:r>
      <w:r w:rsidRPr="005112C6"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5747A1">
        <w:rPr>
          <w:b/>
          <w:sz w:val="22"/>
          <w:szCs w:val="22"/>
        </w:rPr>
        <w:t>22 декабря 2023</w:t>
      </w:r>
      <w:r w:rsidRPr="005112C6">
        <w:rPr>
          <w:b/>
          <w:sz w:val="22"/>
          <w:szCs w:val="22"/>
        </w:rPr>
        <w:t xml:space="preserve"> года</w:t>
      </w:r>
      <w:r w:rsidRPr="00365A29">
        <w:rPr>
          <w:b/>
          <w:sz w:val="22"/>
          <w:szCs w:val="22"/>
        </w:rPr>
        <w:t xml:space="preserve"> </w:t>
      </w:r>
      <w:r w:rsidRPr="005112C6">
        <w:rPr>
          <w:b/>
          <w:sz w:val="22"/>
          <w:szCs w:val="22"/>
        </w:rPr>
        <w:t xml:space="preserve">в </w:t>
      </w:r>
      <w:r w:rsidR="00DA501A">
        <w:rPr>
          <w:b/>
          <w:sz w:val="22"/>
          <w:szCs w:val="22"/>
        </w:rPr>
        <w:t>11</w:t>
      </w:r>
      <w:r w:rsidRPr="005112C6">
        <w:rPr>
          <w:b/>
          <w:sz w:val="22"/>
          <w:szCs w:val="22"/>
        </w:rPr>
        <w:t xml:space="preserve"> часов </w:t>
      </w:r>
      <w:r>
        <w:rPr>
          <w:b/>
          <w:sz w:val="22"/>
          <w:szCs w:val="22"/>
        </w:rPr>
        <w:t>0</w:t>
      </w:r>
      <w:r w:rsidRPr="005112C6">
        <w:rPr>
          <w:b/>
          <w:sz w:val="22"/>
          <w:szCs w:val="22"/>
        </w:rPr>
        <w:t>0 минут.</w:t>
      </w:r>
    </w:p>
    <w:p w:rsidR="005334EF" w:rsidRPr="00F146C2" w:rsidRDefault="005334EF" w:rsidP="0053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 w:rsidRPr="005112C6">
        <w:rPr>
          <w:b/>
          <w:sz w:val="22"/>
          <w:szCs w:val="22"/>
        </w:rPr>
        <w:t>4. Проведение аукциона (</w:t>
      </w:r>
      <w:r w:rsidRPr="005112C6"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="005747A1">
        <w:rPr>
          <w:b/>
          <w:sz w:val="22"/>
          <w:szCs w:val="22"/>
        </w:rPr>
        <w:lastRenderedPageBreak/>
        <w:t>25 декабря 2023</w:t>
      </w:r>
      <w:r w:rsidRPr="00F146C2">
        <w:rPr>
          <w:b/>
          <w:sz w:val="22"/>
          <w:szCs w:val="22"/>
        </w:rPr>
        <w:t xml:space="preserve"> в </w:t>
      </w:r>
      <w:r w:rsidR="00DA501A">
        <w:rPr>
          <w:b/>
          <w:sz w:val="22"/>
          <w:szCs w:val="22"/>
        </w:rPr>
        <w:t>11</w:t>
      </w:r>
      <w:r w:rsidRPr="00F146C2">
        <w:rPr>
          <w:b/>
          <w:sz w:val="22"/>
          <w:szCs w:val="22"/>
        </w:rPr>
        <w:t xml:space="preserve"> часов 00 минут. </w:t>
      </w:r>
      <w:r w:rsidRPr="00F146C2">
        <w:rPr>
          <w:b/>
          <w:bCs/>
          <w:sz w:val="22"/>
          <w:szCs w:val="22"/>
        </w:rPr>
        <w:t xml:space="preserve"> </w:t>
      </w:r>
    </w:p>
    <w:p w:rsidR="0008152B" w:rsidRPr="00397422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036305" w:rsidRPr="00397422">
          <w:rPr>
            <w:rStyle w:val="af0"/>
            <w:sz w:val="22"/>
            <w:szCs w:val="22"/>
            <w:lang w:val="en-US"/>
          </w:rPr>
          <w:t>nowch</w:t>
        </w:r>
        <w:r w:rsidR="00036305" w:rsidRPr="00397422">
          <w:rPr>
            <w:rStyle w:val="af0"/>
            <w:sz w:val="22"/>
            <w:szCs w:val="22"/>
          </w:rPr>
          <w:t>-</w:t>
        </w:r>
        <w:r w:rsidR="00036305" w:rsidRPr="00397422">
          <w:rPr>
            <w:rStyle w:val="af0"/>
            <w:sz w:val="22"/>
            <w:szCs w:val="22"/>
            <w:lang w:val="en-US"/>
          </w:rPr>
          <w:t>gki</w:t>
        </w:r>
        <w:r w:rsidR="00036305" w:rsidRPr="00397422">
          <w:rPr>
            <w:rStyle w:val="af0"/>
            <w:sz w:val="22"/>
            <w:szCs w:val="22"/>
          </w:rPr>
          <w:t>8@</w:t>
        </w:r>
        <w:r w:rsidR="00036305" w:rsidRPr="00397422">
          <w:rPr>
            <w:rStyle w:val="af0"/>
            <w:sz w:val="22"/>
            <w:szCs w:val="22"/>
            <w:lang w:val="en-US"/>
          </w:rPr>
          <w:t>cap</w:t>
        </w:r>
        <w:r w:rsidR="00036305" w:rsidRPr="00397422">
          <w:rPr>
            <w:rStyle w:val="af0"/>
            <w:sz w:val="22"/>
            <w:szCs w:val="22"/>
          </w:rPr>
          <w:t>.</w:t>
        </w:r>
        <w:proofErr w:type="spellStart"/>
        <w:r w:rsidR="00036305" w:rsidRPr="00397422">
          <w:rPr>
            <w:rStyle w:val="af0"/>
            <w:sz w:val="22"/>
            <w:szCs w:val="22"/>
          </w:rPr>
          <w:t>ru</w:t>
        </w:r>
        <w:proofErr w:type="spellEnd"/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lastRenderedPageBreak/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Pr="00397422" w:rsidRDefault="0053477D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CE241C" w:rsidRPr="00CE241C">
        <w:rPr>
          <w:b/>
        </w:rPr>
        <w:t>68 800 (Шестьдесят восемь тысяч восемьсот)</w:t>
      </w:r>
      <w:r w:rsidR="00CE241C">
        <w:rPr>
          <w:b/>
        </w:rPr>
        <w:t xml:space="preserve"> рублей 00</w:t>
      </w:r>
      <w:r w:rsidR="00CE241C">
        <w:rPr>
          <w:b/>
          <w:lang w:val="ru-RU"/>
        </w:rPr>
        <w:t> </w:t>
      </w:r>
      <w:r w:rsidR="00C6508B" w:rsidRPr="00C6508B">
        <w:rPr>
          <w:b/>
        </w:rPr>
        <w:t>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lastRenderedPageBreak/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лица, признанного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lastRenderedPageBreak/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 xml:space="preserve">или </w:t>
      </w:r>
      <w:r w:rsidR="002F68AB" w:rsidRPr="002F68AB">
        <w:rPr>
          <w:sz w:val="22"/>
          <w:szCs w:val="22"/>
        </w:rPr>
        <w:lastRenderedPageBreak/>
        <w:t>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(тридцать) календарных дней после оплаты имущества.</w:t>
      </w: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397422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992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6B29A0" w:rsidRPr="006B29A0">
        <w:rPr>
          <w:sz w:val="22"/>
          <w:szCs w:val="22"/>
        </w:rPr>
        <w:t>Прогнозным планом (программой) приватизации муниципального имущества на 2023 год и основными направлениями приватизации муниципального имущества на 2023-2025 годы, утвержденными решением Новочебоксарского городского Собрания депутатов Чувашской Республики от 14.09.2023 № С 47-3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>об условиях приватизации земельного участка с расположенным на нем объект</w:t>
      </w:r>
      <w:r w:rsidR="005B4AAF">
        <w:rPr>
          <w:sz w:val="22"/>
          <w:szCs w:val="22"/>
          <w:lang w:val="ru-RU"/>
        </w:rPr>
        <w:t>ом</w:t>
      </w:r>
      <w:r w:rsidR="00966286" w:rsidRPr="004513CA">
        <w:rPr>
          <w:sz w:val="22"/>
          <w:szCs w:val="22"/>
        </w:rPr>
        <w:t xml:space="preserve"> недвижимого имущества, по адресу: </w:t>
      </w:r>
      <w:r w:rsidR="006B29A0" w:rsidRPr="006B29A0">
        <w:rPr>
          <w:sz w:val="22"/>
          <w:szCs w:val="22"/>
        </w:rPr>
        <w:t>Чувашская Республика, г. Новочебоксарск, ул. Коммунистическая, вл. 9А, гараж-бокс №32</w:t>
      </w:r>
      <w:r w:rsidR="00CE241C">
        <w:rPr>
          <w:sz w:val="22"/>
          <w:szCs w:val="22"/>
          <w:lang w:val="ru-RU"/>
        </w:rPr>
        <w:t>4-325</w:t>
      </w:r>
      <w:r w:rsidR="006B29A0" w:rsidRPr="006B29A0">
        <w:rPr>
          <w:sz w:val="22"/>
          <w:szCs w:val="22"/>
        </w:rPr>
        <w:t xml:space="preserve"> в гаражном кооперативе №1 «Строитель»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CE241C">
        <w:rPr>
          <w:sz w:val="22"/>
          <w:szCs w:val="22"/>
          <w:lang w:val="ru-RU"/>
        </w:rPr>
        <w:t>Р</w:t>
      </w:r>
      <w:proofErr w:type="spellStart"/>
      <w:r w:rsidR="00CE241C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6B29A0">
        <w:rPr>
          <w:sz w:val="22"/>
          <w:szCs w:val="22"/>
          <w:lang w:val="ru-RU"/>
        </w:rPr>
        <w:t>15.11.2023 № 170</w:t>
      </w:r>
      <w:r w:rsidR="00CE241C">
        <w:rPr>
          <w:sz w:val="22"/>
          <w:szCs w:val="22"/>
          <w:lang w:val="ru-RU"/>
        </w:rPr>
        <w:t>4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6B29A0">
        <w:rPr>
          <w:sz w:val="22"/>
          <w:szCs w:val="22"/>
          <w:lang w:val="ru-RU"/>
        </w:rPr>
        <w:t>3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>лика, г. Новочебоксарск, ул. Коммунистическая, вл. 9А, гараж-бокс №32</w:t>
      </w:r>
      <w:r w:rsidR="00CE241C">
        <w:rPr>
          <w:sz w:val="22"/>
          <w:szCs w:val="22"/>
        </w:rPr>
        <w:t>4-325</w:t>
      </w:r>
      <w:r w:rsidR="000A560E" w:rsidRPr="000A560E">
        <w:rPr>
          <w:sz w:val="22"/>
          <w:szCs w:val="22"/>
        </w:rPr>
        <w:t xml:space="preserve"> в гаражном кооп</w:t>
      </w:r>
      <w:r w:rsidR="000A560E" w:rsidRPr="000A560E">
        <w:rPr>
          <w:sz w:val="22"/>
          <w:szCs w:val="22"/>
        </w:rPr>
        <w:t>е</w:t>
      </w:r>
      <w:r w:rsidR="000A560E" w:rsidRPr="000A560E">
        <w:rPr>
          <w:sz w:val="22"/>
          <w:szCs w:val="22"/>
        </w:rPr>
        <w:t>ративе №1 «Строитель»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76"/>
        <w:gridCol w:w="2126"/>
      </w:tblGrid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</w:t>
            </w:r>
            <w:r w:rsidRPr="004513CA">
              <w:rPr>
                <w:b/>
                <w:sz w:val="22"/>
                <w:szCs w:val="22"/>
              </w:rPr>
              <w:t>о</w:t>
            </w:r>
            <w:r w:rsidRPr="004513CA">
              <w:rPr>
                <w:b/>
                <w:sz w:val="22"/>
                <w:szCs w:val="22"/>
              </w:rPr>
              <w:t>мер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jc w:val="both"/>
              <w:rPr>
                <w:sz w:val="22"/>
                <w:szCs w:val="22"/>
              </w:rPr>
            </w:pPr>
            <w:r w:rsidRPr="004513CA">
              <w:rPr>
                <w:sz w:val="22"/>
                <w:szCs w:val="22"/>
              </w:rPr>
              <w:t>Земельный участок с расположенным на нем следующим объе</w:t>
            </w:r>
            <w:r w:rsidRPr="004513CA">
              <w:rPr>
                <w:sz w:val="22"/>
                <w:szCs w:val="22"/>
              </w:rPr>
              <w:t>к</w:t>
            </w:r>
            <w:r w:rsidRPr="004513C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</w:t>
            </w:r>
            <w:r w:rsidRPr="004513CA">
              <w:rPr>
                <w:sz w:val="22"/>
                <w:szCs w:val="22"/>
              </w:rPr>
              <w:t xml:space="preserve"> недвижимого имущества:</w:t>
            </w:r>
          </w:p>
        </w:tc>
        <w:tc>
          <w:tcPr>
            <w:tcW w:w="1276" w:type="dxa"/>
            <w:vAlign w:val="center"/>
          </w:tcPr>
          <w:p w:rsidR="000A3201" w:rsidRPr="004513CA" w:rsidRDefault="00CE241C" w:rsidP="000A3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CE241C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302</w:t>
            </w:r>
            <w:r w:rsidRPr="00166A7F">
              <w:rPr>
                <w:sz w:val="22"/>
                <w:szCs w:val="22"/>
              </w:rPr>
              <w:t>:</w:t>
            </w:r>
            <w:r w:rsidR="000A560E">
              <w:rPr>
                <w:sz w:val="22"/>
                <w:szCs w:val="22"/>
              </w:rPr>
              <w:t>136</w:t>
            </w:r>
            <w:r w:rsidR="00CE241C">
              <w:rPr>
                <w:sz w:val="22"/>
                <w:szCs w:val="22"/>
              </w:rPr>
              <w:t>4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CE24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13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гараж-бокс №</w:t>
            </w:r>
            <w:r w:rsidR="000A560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CE241C">
              <w:rPr>
                <w:rFonts w:ascii="Times New Roman" w:hAnsi="Times New Roman" w:cs="Times New Roman"/>
                <w:sz w:val="22"/>
                <w:szCs w:val="22"/>
              </w:rPr>
              <w:t>4-325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этажей:1</w:t>
            </w:r>
          </w:p>
        </w:tc>
        <w:tc>
          <w:tcPr>
            <w:tcW w:w="1276" w:type="dxa"/>
            <w:vAlign w:val="center"/>
          </w:tcPr>
          <w:p w:rsidR="000A3201" w:rsidRPr="004513CA" w:rsidRDefault="00CE241C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560E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301</w:t>
            </w:r>
            <w:r w:rsidRPr="00166A7F">
              <w:rPr>
                <w:sz w:val="22"/>
                <w:szCs w:val="22"/>
              </w:rPr>
              <w:t>:</w:t>
            </w:r>
            <w:r w:rsidR="00CE241C">
              <w:rPr>
                <w:sz w:val="22"/>
                <w:szCs w:val="22"/>
              </w:rPr>
              <w:t>1794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lastRenderedPageBreak/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</w:t>
      </w:r>
      <w:r w:rsidR="001B33F8" w:rsidRPr="00760EB6">
        <w:rPr>
          <w:sz w:val="22"/>
          <w:szCs w:val="22"/>
        </w:rPr>
        <w:lastRenderedPageBreak/>
        <w:t>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53" w:rsidRDefault="00511E53">
      <w:r>
        <w:separator/>
      </w:r>
    </w:p>
  </w:endnote>
  <w:endnote w:type="continuationSeparator" w:id="0">
    <w:p w:rsidR="00511E53" w:rsidRDefault="0051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53" w:rsidRDefault="00511E53">
      <w:r>
        <w:separator/>
      </w:r>
    </w:p>
  </w:footnote>
  <w:footnote w:type="continuationSeparator" w:id="0">
    <w:p w:rsidR="00511E53" w:rsidRDefault="0051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D4715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E670C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3B8F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1E53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126D"/>
    <w:rsid w:val="00895F96"/>
    <w:rsid w:val="008B53A5"/>
    <w:rsid w:val="008B7A39"/>
    <w:rsid w:val="008D27F5"/>
    <w:rsid w:val="008D471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D1F"/>
    <w:rsid w:val="00CA0E6F"/>
    <w:rsid w:val="00CA7094"/>
    <w:rsid w:val="00CA7D06"/>
    <w:rsid w:val="00CB0217"/>
    <w:rsid w:val="00CB6B38"/>
    <w:rsid w:val="00CC4104"/>
    <w:rsid w:val="00CE124F"/>
    <w:rsid w:val="00CE241C"/>
    <w:rsid w:val="00CF3E1D"/>
    <w:rsid w:val="00D103B6"/>
    <w:rsid w:val="00D12FC7"/>
    <w:rsid w:val="00D13BA5"/>
    <w:rsid w:val="00D16DBB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A501A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8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8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1854-B134-448A-9CA0-ABF56F5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8301</Words>
  <Characters>47317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5</cp:revision>
  <cp:lastPrinted>2023-11-22T08:30:00Z</cp:lastPrinted>
  <dcterms:created xsi:type="dcterms:W3CDTF">2023-11-22T08:32:00Z</dcterms:created>
  <dcterms:modified xsi:type="dcterms:W3CDTF">2023-11-23T06:02:00Z</dcterms:modified>
</cp:coreProperties>
</file>