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B" w:rsidRPr="009261D9" w:rsidRDefault="000412FB" w:rsidP="000412FB">
      <w:pPr>
        <w:jc w:val="center"/>
        <w:rPr>
          <w:b/>
        </w:rPr>
      </w:pPr>
      <w:r w:rsidRPr="009261D9">
        <w:rPr>
          <w:b/>
        </w:rPr>
        <w:t>П А С П О Р Т</w:t>
      </w:r>
    </w:p>
    <w:p w:rsidR="0028510E" w:rsidRPr="009261D9" w:rsidRDefault="000412FB" w:rsidP="000412FB">
      <w:pPr>
        <w:jc w:val="center"/>
        <w:rPr>
          <w:b/>
        </w:rPr>
      </w:pPr>
      <w:r w:rsidRPr="009261D9">
        <w:rPr>
          <w:b/>
        </w:rPr>
        <w:t>муниципальной программы Козловского муниципального округа</w:t>
      </w:r>
    </w:p>
    <w:p w:rsidR="0028510E" w:rsidRPr="009261D9" w:rsidRDefault="000412FB" w:rsidP="000412FB">
      <w:pPr>
        <w:jc w:val="center"/>
        <w:rPr>
          <w:b/>
        </w:rPr>
      </w:pPr>
      <w:r w:rsidRPr="009261D9">
        <w:rPr>
          <w:b/>
        </w:rPr>
        <w:t xml:space="preserve"> Чувашской Республики «Развитие образования в Козловском</w:t>
      </w:r>
    </w:p>
    <w:p w:rsidR="0028510E" w:rsidRPr="009261D9" w:rsidRDefault="000412FB" w:rsidP="000412FB">
      <w:pPr>
        <w:jc w:val="center"/>
        <w:rPr>
          <w:b/>
        </w:rPr>
      </w:pPr>
      <w:r w:rsidRPr="009261D9">
        <w:rPr>
          <w:b/>
        </w:rPr>
        <w:t xml:space="preserve"> муниципальном округе</w:t>
      </w:r>
      <w:r w:rsidR="0028510E" w:rsidRPr="009261D9">
        <w:rPr>
          <w:b/>
        </w:rPr>
        <w:t xml:space="preserve"> </w:t>
      </w:r>
      <w:r w:rsidRPr="009261D9">
        <w:rPr>
          <w:b/>
        </w:rPr>
        <w:t>Чувашской Республики»</w:t>
      </w:r>
    </w:p>
    <w:p w:rsidR="0098583A" w:rsidRPr="009261D9" w:rsidRDefault="0098583A" w:rsidP="000412FB">
      <w:pPr>
        <w:jc w:val="center"/>
        <w:rPr>
          <w:b/>
        </w:rPr>
      </w:pPr>
      <w:r w:rsidRPr="009261D9">
        <w:rPr>
          <w:b/>
        </w:rPr>
        <w:t xml:space="preserve"> (постановление администрации Козловского</w:t>
      </w:r>
    </w:p>
    <w:p w:rsidR="000412FB" w:rsidRPr="009261D9" w:rsidRDefault="0098583A" w:rsidP="000412FB">
      <w:pPr>
        <w:jc w:val="center"/>
        <w:rPr>
          <w:b/>
        </w:rPr>
      </w:pPr>
      <w:r w:rsidRPr="009261D9">
        <w:rPr>
          <w:b/>
        </w:rPr>
        <w:t xml:space="preserve"> муниципального округа Чувашской Республики от 16</w:t>
      </w:r>
      <w:r w:rsidR="009261D9" w:rsidRPr="009261D9">
        <w:rPr>
          <w:b/>
        </w:rPr>
        <w:t>.06.</w:t>
      </w:r>
      <w:r w:rsidRPr="009261D9">
        <w:rPr>
          <w:b/>
        </w:rPr>
        <w:t>2023 № 545)</w:t>
      </w:r>
    </w:p>
    <w:p w:rsidR="000412FB" w:rsidRPr="009261D9" w:rsidRDefault="000412FB" w:rsidP="000412FB">
      <w:pPr>
        <w:jc w:val="center"/>
      </w:pPr>
    </w:p>
    <w:tbl>
      <w:tblPr>
        <w:tblW w:w="4963" w:type="pct"/>
        <w:tblInd w:w="108" w:type="dxa"/>
        <w:tblLayout w:type="fixed"/>
        <w:tblLook w:val="00A0"/>
      </w:tblPr>
      <w:tblGrid>
        <w:gridCol w:w="2956"/>
        <w:gridCol w:w="327"/>
        <w:gridCol w:w="6216"/>
      </w:tblGrid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t xml:space="preserve">Ответственный исполнитель муниципальной программы 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jc w:val="both"/>
            </w:pPr>
            <w:r w:rsidRPr="009261D9">
              <w:t xml:space="preserve">Отдел образования и молодежной политики администрации Козловского муниципального округа Чувашской Республики </w:t>
            </w: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t>Соисполнители муниципальной программы</w:t>
            </w:r>
          </w:p>
          <w:p w:rsidR="000412FB" w:rsidRPr="009261D9" w:rsidRDefault="000412FB" w:rsidP="00BB5A78"/>
        </w:tc>
        <w:tc>
          <w:tcPr>
            <w:tcW w:w="172" w:type="pct"/>
          </w:tcPr>
          <w:p w:rsidR="000412FB" w:rsidRPr="009261D9" w:rsidRDefault="000412FB" w:rsidP="00BB5A78">
            <w:pPr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tabs>
                <w:tab w:val="left" w:pos="8343"/>
                <w:tab w:val="left" w:pos="11443"/>
              </w:tabs>
              <w:spacing w:line="233" w:lineRule="auto"/>
              <w:jc w:val="both"/>
            </w:pPr>
            <w:r w:rsidRPr="009261D9">
              <w:t>Администрация Козловского муниципального округа Чувашской Республики</w:t>
            </w: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t>Участники муниципальной программы</w:t>
            </w:r>
          </w:p>
          <w:p w:rsidR="000412FB" w:rsidRPr="009261D9" w:rsidRDefault="000412FB" w:rsidP="00BB5A78"/>
        </w:tc>
        <w:tc>
          <w:tcPr>
            <w:tcW w:w="172" w:type="pct"/>
          </w:tcPr>
          <w:p w:rsidR="000412FB" w:rsidRPr="009261D9" w:rsidRDefault="000412FB" w:rsidP="00BB5A78">
            <w:pPr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jc w:val="both"/>
            </w:pPr>
            <w:r w:rsidRPr="009261D9">
              <w:t xml:space="preserve">Отдел образования и молодежной политики администрации Козловского </w:t>
            </w:r>
            <w:bookmarkStart w:id="0" w:name="_Hlk118096308"/>
            <w:r w:rsidRPr="009261D9">
              <w:t>муниципального округа</w:t>
            </w:r>
            <w:bookmarkEnd w:id="0"/>
            <w:r w:rsidRPr="009261D9">
              <w:t xml:space="preserve"> Чувашской Республики; образовательные учреждения Козловского муниципального округа</w:t>
            </w:r>
          </w:p>
          <w:p w:rsidR="000412FB" w:rsidRPr="009261D9" w:rsidRDefault="000412FB" w:rsidP="00BB5A78">
            <w:pPr>
              <w:jc w:val="both"/>
            </w:pP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t>Подпрограммы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jc w:val="both"/>
            </w:pPr>
            <w:r w:rsidRPr="009261D9">
              <w:t>«Поддержка развития образования»;</w:t>
            </w:r>
          </w:p>
          <w:p w:rsidR="000412FB" w:rsidRPr="009261D9" w:rsidRDefault="000412FB" w:rsidP="00BB5A78">
            <w:pPr>
              <w:jc w:val="both"/>
            </w:pPr>
            <w:r w:rsidRPr="009261D9">
              <w:t>«Молодёжь Козловского муниципального округа Чувашской Республики»;</w:t>
            </w:r>
          </w:p>
          <w:p w:rsidR="001D060C" w:rsidRPr="009261D9" w:rsidRDefault="001D060C" w:rsidP="00BB5A78">
            <w:pPr>
              <w:jc w:val="both"/>
            </w:pPr>
            <w:r w:rsidRPr="009261D9">
              <w:t>«Патриотическое воспитание и допризывная подготовка молодежи Козловского муниципального округа Чувашской Республики»;</w:t>
            </w:r>
          </w:p>
          <w:p w:rsidR="00314EA8" w:rsidRPr="009261D9" w:rsidRDefault="00314EA8" w:rsidP="00BB5A78">
            <w:pPr>
              <w:jc w:val="both"/>
            </w:pPr>
            <w:r w:rsidRPr="009261D9">
              <w:t>«</w:t>
            </w:r>
            <w:r w:rsidRPr="009261D9">
              <w:rPr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  <w:r w:rsidRPr="009261D9">
              <w:t>»</w:t>
            </w:r>
            <w:r w:rsidR="001D060C" w:rsidRPr="009261D9">
              <w:t>;</w:t>
            </w:r>
          </w:p>
          <w:p w:rsidR="000412FB" w:rsidRPr="009261D9" w:rsidRDefault="000412FB" w:rsidP="00BB5A78">
            <w:pPr>
              <w:jc w:val="both"/>
            </w:pPr>
            <w:r w:rsidRPr="009261D9">
              <w:t>«Обеспечение реализации муниципальной программы Козловского муниципального округа Чувашской Республики»</w:t>
            </w:r>
          </w:p>
          <w:p w:rsidR="000412FB" w:rsidRPr="009261D9" w:rsidRDefault="000412FB" w:rsidP="00BB5A78">
            <w:pPr>
              <w:jc w:val="both"/>
            </w:pP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pPr>
              <w:spacing w:line="242" w:lineRule="auto"/>
            </w:pPr>
            <w:r w:rsidRPr="009261D9">
              <w:t>Программно-целевые инструменты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spacing w:line="242" w:lineRule="auto"/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>подпрограмма «Поддержка развития образования»;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>подпрограмма «Молодёжь Козловского муниципального округа Чувашской Республики»;</w:t>
            </w:r>
          </w:p>
          <w:p w:rsidR="001D060C" w:rsidRPr="009261D9" w:rsidRDefault="001D060C" w:rsidP="001D060C">
            <w:pPr>
              <w:jc w:val="both"/>
            </w:pPr>
            <w:r w:rsidRPr="009261D9">
              <w:t>подпрограмма «Патриотическое воспитание и допризывная подготовка молодежи Козловского муниципального округа Чувашской Республики»;</w:t>
            </w:r>
          </w:p>
          <w:p w:rsidR="00314EA8" w:rsidRPr="009261D9" w:rsidRDefault="000412FB" w:rsidP="00314EA8">
            <w:pPr>
              <w:jc w:val="both"/>
            </w:pPr>
            <w:r w:rsidRPr="009261D9">
              <w:t xml:space="preserve">подпрограмма </w:t>
            </w:r>
            <w:r w:rsidR="00314EA8" w:rsidRPr="009261D9">
              <w:t>«</w:t>
            </w:r>
            <w:r w:rsidR="00314EA8" w:rsidRPr="009261D9">
              <w:rPr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  <w:r w:rsidR="00314EA8" w:rsidRPr="009261D9">
              <w:t>»</w:t>
            </w:r>
            <w:r w:rsidR="001D060C" w:rsidRPr="009261D9">
              <w:t>;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>подпрограмма «Обеспечение реализации муниципальной программы Козловского муниципального округа Чувашской Республики»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</w:p>
        </w:tc>
      </w:tr>
      <w:tr w:rsidR="000412FB" w:rsidRPr="009261D9" w:rsidTr="00BB5A78">
        <w:tblPrEx>
          <w:tblLook w:val="01E0"/>
        </w:tblPrEx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4"/>
              <w:spacing w:line="242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</w:t>
            </w:r>
            <w:r w:rsidRPr="009261D9">
              <w:lastRenderedPageBreak/>
              <w:t>ценностей и активной гражданской позиции</w:t>
            </w:r>
          </w:p>
          <w:p w:rsidR="000412FB" w:rsidRPr="009261D9" w:rsidRDefault="000412FB" w:rsidP="00BB5A78">
            <w:pPr>
              <w:tabs>
                <w:tab w:val="left" w:pos="1134"/>
              </w:tabs>
              <w:spacing w:line="242" w:lineRule="auto"/>
              <w:jc w:val="both"/>
            </w:pPr>
          </w:p>
        </w:tc>
      </w:tr>
      <w:tr w:rsidR="000412FB" w:rsidRPr="009261D9" w:rsidTr="00BB5A78">
        <w:tblPrEx>
          <w:tblLook w:val="01E0"/>
        </w:tblPrEx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4"/>
              <w:spacing w:line="242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pct"/>
          </w:tcPr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системы комплексного психолого-педа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гогического и медико-социально-правового сопровождения обучающихся и их семей;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воспитания и дополнительного образования детей в Козловском муниципальном округе Чувашской Республики;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активного включения молодых граждан в процесс социально-экономи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ческого, общественно-политического и культурного развития Козловского муниципального округа Чувашской Республики;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</w:tc>
      </w:tr>
      <w:tr w:rsidR="000412FB" w:rsidRPr="009261D9" w:rsidTr="00BB5A78">
        <w:tblPrEx>
          <w:tblLook w:val="01E0"/>
        </w:tblPrEx>
        <w:trPr>
          <w:trHeight w:val="3412"/>
        </w:trPr>
        <w:tc>
          <w:tcPr>
            <w:tcW w:w="1556" w:type="pct"/>
          </w:tcPr>
          <w:p w:rsidR="000412FB" w:rsidRPr="009261D9" w:rsidRDefault="000412FB" w:rsidP="00BB5A78">
            <w:pPr>
              <w:spacing w:line="242" w:lineRule="auto"/>
            </w:pP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      </w:r>
          </w:p>
          <w:p w:rsidR="000412FB" w:rsidRPr="009261D9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инновационных организационно-эко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мических моделей и механизмов, повышающих экономическую и социальную эффективность функционирования образовательных учреждений;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>переход от государственно-общественного уп</w:t>
            </w:r>
            <w:r w:rsidRPr="009261D9">
              <w:softHyphen/>
              <w:t>равления образованием к общественно-госу</w:t>
            </w:r>
            <w:r w:rsidRPr="009261D9">
              <w:softHyphen/>
              <w:t>дарственному управлению;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</w:p>
        </w:tc>
      </w:tr>
      <w:tr w:rsidR="000412FB" w:rsidRPr="009261D9" w:rsidTr="00BB5A78">
        <w:tblPrEx>
          <w:tblLook w:val="01E0"/>
        </w:tblPrEx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pPr>
              <w:jc w:val="both"/>
            </w:pPr>
            <w:r w:rsidRPr="009261D9">
              <w:t>Целевые индикаторы и показатели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jc w:val="both"/>
            </w:pPr>
            <w:r w:rsidRPr="009261D9">
              <w:t>достижение к 2036 году следующих показателей: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отношение среднемесячной номинальной начисленной заработной платы учителей к среднемесячной заработной плате работников, занятых в экономике Чувашской Республики;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удовлетворенность населения качеством общего образования (по данным опроса);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удельный вес учащихся, получающих среднее общее образование по программам профильного обучения;</w:t>
            </w:r>
          </w:p>
          <w:p w:rsidR="000412FB" w:rsidRPr="009261D9" w:rsidRDefault="000412FB" w:rsidP="00BB5A78">
            <w:pPr>
              <w:jc w:val="both"/>
            </w:pPr>
            <w:r w:rsidRPr="009261D9">
              <w:t xml:space="preserve">- удельный вес лиц, сдавших единый государственный экзамен, от числа выпускников, участвовавших в ЕГЭ; 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удельный вес общеобразовательных учреждений,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вопросов;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численность учащихся, приходящихся на одного учителя в муниципальных общеобразовательных учреждениях;</w:t>
            </w:r>
          </w:p>
          <w:p w:rsidR="000412FB" w:rsidRPr="009261D9" w:rsidRDefault="000412FB" w:rsidP="00BB5A78">
            <w:pPr>
              <w:jc w:val="both"/>
            </w:pPr>
            <w:r w:rsidRPr="009261D9">
              <w:lastRenderedPageBreak/>
              <w:t>- средняя наполняемость классов в муниципальных общеобразовательных учреждениях (в городской и сельской местности);</w:t>
            </w:r>
          </w:p>
          <w:p w:rsidR="000412FB" w:rsidRPr="009261D9" w:rsidRDefault="000412FB" w:rsidP="00BB5A78">
            <w:pPr>
              <w:jc w:val="both"/>
            </w:pPr>
            <w:r w:rsidRPr="009261D9">
              <w:t>- обеспеченность детей дошкольного возраста местами в дошкольных образовательных организациях;</w:t>
            </w:r>
          </w:p>
          <w:p w:rsidR="000412FB" w:rsidRPr="009261D9" w:rsidRDefault="000412FB" w:rsidP="00BB5A78">
            <w:pPr>
              <w:widowControl w:val="0"/>
              <w:jc w:val="both"/>
            </w:pPr>
            <w:r w:rsidRPr="009261D9">
              <w:t>- доля детей и подростков, охваченных дополнительными общеобразовательными программами, в общей численности детей и молодежи в возрасте от 5 до 18 лет;</w:t>
            </w:r>
          </w:p>
          <w:p w:rsidR="000412FB" w:rsidRPr="009261D9" w:rsidRDefault="000412FB" w:rsidP="00BB5A78">
            <w:pPr>
              <w:widowControl w:val="0"/>
              <w:jc w:val="both"/>
            </w:pPr>
            <w:r w:rsidRPr="009261D9">
              <w:t>- удельный вес подростков, охваченных деятельностью детских общественных организаций и объединений;</w:t>
            </w:r>
          </w:p>
          <w:p w:rsidR="000412FB" w:rsidRPr="009261D9" w:rsidRDefault="000412FB" w:rsidP="00BB5A78">
            <w:pPr>
              <w:widowControl w:val="0"/>
              <w:jc w:val="both"/>
            </w:pPr>
            <w:r w:rsidRPr="009261D9">
              <w:t>- удельный вес молодых людей, охваченных деятельностью молодежных общественных объединений;</w:t>
            </w:r>
          </w:p>
          <w:p w:rsidR="000412FB" w:rsidRPr="009261D9" w:rsidRDefault="000412FB" w:rsidP="00BB5A78">
            <w:pPr>
              <w:widowControl w:val="0"/>
              <w:jc w:val="both"/>
            </w:pPr>
            <w:r w:rsidRPr="009261D9">
              <w:t>- количество военно-патриотических клубов;</w:t>
            </w:r>
          </w:p>
          <w:p w:rsidR="000412FB" w:rsidRPr="009261D9" w:rsidRDefault="000412FB" w:rsidP="00BB5A78">
            <w:pPr>
              <w:widowControl w:val="0"/>
              <w:jc w:val="both"/>
            </w:pPr>
            <w:r w:rsidRPr="009261D9">
              <w:t>- количество спортивно-туристических клубов;</w:t>
            </w:r>
          </w:p>
          <w:p w:rsidR="000412FB" w:rsidRPr="009261D9" w:rsidRDefault="000412FB" w:rsidP="00BB5A78">
            <w:pPr>
              <w:spacing w:line="242" w:lineRule="auto"/>
              <w:jc w:val="both"/>
            </w:pPr>
            <w:r w:rsidRPr="009261D9">
              <w:t>- количество спортивных клубов.</w:t>
            </w:r>
          </w:p>
          <w:p w:rsidR="000412FB" w:rsidRPr="009261D9" w:rsidRDefault="000412FB" w:rsidP="00BB5A78">
            <w:pPr>
              <w:jc w:val="both"/>
            </w:pPr>
          </w:p>
        </w:tc>
      </w:tr>
      <w:tr w:rsidR="000412FB" w:rsidRPr="009261D9" w:rsidTr="00BB5A78">
        <w:tblPrEx>
          <w:tblLook w:val="01E0"/>
        </w:tblPrEx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lastRenderedPageBreak/>
              <w:t>Срок реализации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jc w:val="both"/>
            </w:pPr>
            <w:r w:rsidRPr="009261D9">
              <w:t xml:space="preserve">2023–2035 годы </w:t>
            </w: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pPr>
              <w:widowControl w:val="0"/>
              <w:jc w:val="both"/>
            </w:pPr>
            <w:r w:rsidRPr="009261D9">
              <w:t>Объемы финансирования муниципальной программы с разбивкой по годам ее реализации</w:t>
            </w:r>
          </w:p>
          <w:p w:rsidR="000412FB" w:rsidRPr="009261D9" w:rsidRDefault="000412FB" w:rsidP="00BB5A78">
            <w:pPr>
              <w:widowControl w:val="0"/>
              <w:jc w:val="both"/>
            </w:pPr>
          </w:p>
          <w:p w:rsidR="000412FB" w:rsidRPr="009261D9" w:rsidRDefault="000412FB" w:rsidP="00BB5A78">
            <w:pPr>
              <w:pStyle w:val="ad"/>
              <w:ind w:firstLine="4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" w:type="pct"/>
          </w:tcPr>
          <w:p w:rsidR="000412FB" w:rsidRPr="009261D9" w:rsidRDefault="000412FB" w:rsidP="00BB5A78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center"/>
            </w:pPr>
            <w:r w:rsidRPr="009261D9">
              <w:t>–</w:t>
            </w:r>
          </w:p>
        </w:tc>
        <w:tc>
          <w:tcPr>
            <w:tcW w:w="3272" w:type="pct"/>
          </w:tcPr>
          <w:p w:rsidR="00B464FA" w:rsidRPr="009261D9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9261D9">
              <w:t xml:space="preserve">прогнозируемые объемы финансирования мероприятий муниципальной программы в 2023–2035 годах составят </w:t>
            </w:r>
            <w:r w:rsidR="009261D9" w:rsidRPr="009261D9">
              <w:t>3454</w:t>
            </w:r>
            <w:r w:rsidR="00F0398D">
              <w:t>046,4</w:t>
            </w:r>
            <w:r w:rsidRPr="009261D9">
              <w:t xml:space="preserve"> тыс. рублей, в том числе: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275062,2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485,9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251004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54D" w:rsidRPr="009261D9" w:rsidRDefault="00A5354D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в 2026 году – 25473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D968A1">
              <w:rPr>
                <w:rFonts w:ascii="Times New Roman" w:hAnsi="Times New Roman" w:cs="Times New Roman"/>
                <w:sz w:val="24"/>
                <w:szCs w:val="24"/>
              </w:rPr>
              <w:t>10437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D968A1">
              <w:rPr>
                <w:rFonts w:ascii="Times New Roman" w:hAnsi="Times New Roman" w:cs="Times New Roman"/>
                <w:sz w:val="24"/>
                <w:szCs w:val="24"/>
              </w:rPr>
              <w:t>13750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464FA" w:rsidRPr="009261D9" w:rsidRDefault="00B464FA" w:rsidP="00B464FA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9261D9" w:rsidRPr="009261D9" w:rsidRDefault="009261D9" w:rsidP="00B464FA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FA" w:rsidRPr="009261D9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9261D9">
              <w:t xml:space="preserve">федерального бюджета – </w:t>
            </w:r>
            <w:r w:rsidR="00F0398D">
              <w:t>219975</w:t>
            </w:r>
            <w:r w:rsidR="00583C31" w:rsidRPr="009261D9">
              <w:t>,5</w:t>
            </w:r>
            <w:r w:rsidRPr="009261D9">
              <w:t xml:space="preserve"> тыс. рублей, в том числе: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19929,1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16774,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54D" w:rsidRPr="009261D9" w:rsidRDefault="00A5354D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66512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F0398D">
              <w:rPr>
                <w:rFonts w:ascii="Times New Roman" w:hAnsi="Times New Roman" w:cs="Times New Roman"/>
                <w:sz w:val="24"/>
                <w:szCs w:val="24"/>
              </w:rPr>
              <w:t>83140</w:t>
            </w:r>
            <w:r w:rsidR="00583C31" w:rsidRPr="009261D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61D9" w:rsidRPr="009261D9" w:rsidRDefault="009261D9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FA" w:rsidRPr="009261D9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9261D9">
              <w:t xml:space="preserve">республиканского бюджета </w:t>
            </w:r>
            <w:r w:rsidR="00583C31" w:rsidRPr="009261D9">
              <w:t>Чувашской Республики</w:t>
            </w:r>
            <w:r w:rsidRPr="009261D9">
              <w:t xml:space="preserve">– </w:t>
            </w:r>
            <w:r w:rsidR="001204FD" w:rsidRPr="009261D9">
              <w:t>2283</w:t>
            </w:r>
            <w:r w:rsidR="001214E8">
              <w:t>596</w:t>
            </w:r>
            <w:r w:rsidR="001204FD" w:rsidRPr="009261D9">
              <w:t>,</w:t>
            </w:r>
            <w:r w:rsidR="001214E8">
              <w:t>6</w:t>
            </w:r>
            <w:r w:rsidRPr="009261D9">
              <w:t xml:space="preserve"> тыс. рублей, в том числе: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190090,3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174179,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174277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54D" w:rsidRPr="009261D9" w:rsidRDefault="00A5354D" w:rsidP="00A5354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698020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87252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4FD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9261D9">
              <w:t>бюджет Козловского муниципального округа</w:t>
            </w:r>
            <w:r w:rsidR="00583C31" w:rsidRPr="009261D9">
              <w:t xml:space="preserve"> Чувашской Республики</w:t>
            </w:r>
            <w:r w:rsidRPr="009261D9">
              <w:t xml:space="preserve"> – </w:t>
            </w:r>
            <w:r w:rsidR="009261D9" w:rsidRPr="009261D9">
              <w:t>950</w:t>
            </w:r>
            <w:r w:rsidR="00E63735">
              <w:t>474</w:t>
            </w:r>
            <w:r w:rsidR="009261D9" w:rsidRPr="009261D9">
              <w:t>,</w:t>
            </w:r>
            <w:r w:rsidR="00E63735">
              <w:t>3</w:t>
            </w:r>
            <w:r w:rsidRPr="009261D9">
              <w:t xml:space="preserve"> тыс. рублей, в том числе: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D1ADB" w:rsidRPr="009261D9">
              <w:rPr>
                <w:rFonts w:ascii="Times New Roman" w:hAnsi="Times New Roman" w:cs="Times New Roman"/>
                <w:sz w:val="24"/>
                <w:szCs w:val="24"/>
              </w:rPr>
              <w:t>65042,8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63735"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7D1ADB" w:rsidRPr="0092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D1ADB" w:rsidRPr="009261D9">
              <w:rPr>
                <w:rFonts w:ascii="Times New Roman" w:hAnsi="Times New Roman" w:cs="Times New Roman"/>
                <w:sz w:val="24"/>
                <w:szCs w:val="24"/>
              </w:rPr>
              <w:t>59953,4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54D" w:rsidRPr="009261D9" w:rsidRDefault="00A5354D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7D1ADB" w:rsidRPr="009261D9">
              <w:rPr>
                <w:rFonts w:ascii="Times New Roman" w:hAnsi="Times New Roman" w:cs="Times New Roman"/>
                <w:sz w:val="24"/>
                <w:szCs w:val="24"/>
              </w:rPr>
              <w:t>63603,8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9261D9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A5354D" w:rsidRPr="0092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9261D9" w:rsidRPr="009261D9">
              <w:rPr>
                <w:rFonts w:ascii="Times New Roman" w:hAnsi="Times New Roman" w:cs="Times New Roman"/>
                <w:sz w:val="24"/>
                <w:szCs w:val="24"/>
              </w:rPr>
              <w:t>279183,4</w:t>
            </w:r>
            <w:r w:rsidRPr="00926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2FB" w:rsidRPr="009261D9" w:rsidRDefault="00B464FA" w:rsidP="009261D9">
            <w:pPr>
              <w:pStyle w:val="ad"/>
              <w:ind w:firstLine="4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2031-2035 годах – </w:t>
            </w:r>
            <w:r w:rsidR="009261D9" w:rsidRPr="00926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419375,4</w:t>
            </w:r>
            <w:r w:rsidRPr="00926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рублей.</w:t>
            </w:r>
          </w:p>
        </w:tc>
      </w:tr>
      <w:tr w:rsidR="000412FB" w:rsidRPr="009261D9" w:rsidTr="00BB5A78">
        <w:trPr>
          <w:trHeight w:val="20"/>
        </w:trPr>
        <w:tc>
          <w:tcPr>
            <w:tcW w:w="1556" w:type="pct"/>
          </w:tcPr>
          <w:p w:rsidR="000412FB" w:rsidRPr="009261D9" w:rsidRDefault="000412FB" w:rsidP="00BB5A78">
            <w:r w:rsidRPr="009261D9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72" w:type="pct"/>
          </w:tcPr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дошкольного образования;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всех видов образования для детей с ограниченными физическими возможностями;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охвата населения системой непрерывного образования;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 развития Козловского района Чувашской Республики;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потенциала системы воспитания и дополнительного образования детей;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здоровья обучающихся, воспитание культуры здоровья, здорового образа жизни;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инновационных организационно-эко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номических моделей и механизмов, повышающих экономическую и социальную эффективность функционирования образовательных организаций;</w:t>
            </w:r>
          </w:p>
          <w:p w:rsidR="000412FB" w:rsidRPr="009261D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от государственно-общественного уп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равления образованием к общественно-государ</w:t>
            </w:r>
            <w:r w:rsidRPr="009261D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ственному управлению.</w:t>
            </w:r>
          </w:p>
        </w:tc>
      </w:tr>
    </w:tbl>
    <w:p w:rsidR="000412FB" w:rsidRPr="009261D9" w:rsidRDefault="000412FB" w:rsidP="000412FB"/>
    <w:p w:rsidR="000412FB" w:rsidRPr="009261D9" w:rsidRDefault="000412FB" w:rsidP="00FD273D">
      <w:pPr>
        <w:tabs>
          <w:tab w:val="left" w:pos="9070"/>
        </w:tabs>
        <w:ind w:right="-2"/>
        <w:jc w:val="both"/>
      </w:pPr>
    </w:p>
    <w:sectPr w:rsidR="000412FB" w:rsidRPr="009261D9" w:rsidSect="008C7AF7">
      <w:headerReference w:type="default" r:id="rId8"/>
      <w:pgSz w:w="11906" w:h="16838"/>
      <w:pgMar w:top="851" w:right="851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5E" w:rsidRDefault="00326E5E" w:rsidP="00613305">
      <w:r>
        <w:separator/>
      </w:r>
    </w:p>
  </w:endnote>
  <w:endnote w:type="continuationSeparator" w:id="1">
    <w:p w:rsidR="00326E5E" w:rsidRDefault="00326E5E" w:rsidP="0061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5E" w:rsidRDefault="00326E5E" w:rsidP="00613305">
      <w:r>
        <w:separator/>
      </w:r>
    </w:p>
  </w:footnote>
  <w:footnote w:type="continuationSeparator" w:id="1">
    <w:p w:rsidR="00326E5E" w:rsidRDefault="00326E5E" w:rsidP="0061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7AF7" w:rsidRDefault="00AA2D25">
        <w:pPr>
          <w:pStyle w:val="af5"/>
          <w:jc w:val="center"/>
        </w:pPr>
        <w:r w:rsidRPr="008C7AF7">
          <w:rPr>
            <w:sz w:val="20"/>
            <w:szCs w:val="20"/>
          </w:rPr>
          <w:fldChar w:fldCharType="begin"/>
        </w:r>
        <w:r w:rsidR="008C7AF7" w:rsidRPr="008C7AF7">
          <w:rPr>
            <w:sz w:val="20"/>
            <w:szCs w:val="20"/>
          </w:rPr>
          <w:instrText xml:space="preserve"> PAGE   \* MERGEFORMAT </w:instrText>
        </w:r>
        <w:r w:rsidRPr="008C7AF7">
          <w:rPr>
            <w:sz w:val="20"/>
            <w:szCs w:val="20"/>
          </w:rPr>
          <w:fldChar w:fldCharType="separate"/>
        </w:r>
        <w:r w:rsidR="002767AD">
          <w:rPr>
            <w:noProof/>
            <w:sz w:val="20"/>
            <w:szCs w:val="20"/>
          </w:rPr>
          <w:t>30</w:t>
        </w:r>
        <w:r w:rsidRPr="008C7AF7">
          <w:rPr>
            <w:sz w:val="20"/>
            <w:szCs w:val="20"/>
          </w:rPr>
          <w:fldChar w:fldCharType="end"/>
        </w:r>
      </w:p>
    </w:sdtContent>
  </w:sdt>
  <w:p w:rsidR="008C7AF7" w:rsidRDefault="008C7AF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73D"/>
    <w:rsid w:val="00014E11"/>
    <w:rsid w:val="00022861"/>
    <w:rsid w:val="00024461"/>
    <w:rsid w:val="000412FB"/>
    <w:rsid w:val="00072A1A"/>
    <w:rsid w:val="00076FC4"/>
    <w:rsid w:val="0009769A"/>
    <w:rsid w:val="000B1BBF"/>
    <w:rsid w:val="000C3F3C"/>
    <w:rsid w:val="000D57D9"/>
    <w:rsid w:val="000D63C6"/>
    <w:rsid w:val="000E624C"/>
    <w:rsid w:val="000F295C"/>
    <w:rsid w:val="00117BA7"/>
    <w:rsid w:val="001204FD"/>
    <w:rsid w:val="001214E8"/>
    <w:rsid w:val="00121CE7"/>
    <w:rsid w:val="00124729"/>
    <w:rsid w:val="00130186"/>
    <w:rsid w:val="00132FB9"/>
    <w:rsid w:val="001372D9"/>
    <w:rsid w:val="00137DAB"/>
    <w:rsid w:val="00154407"/>
    <w:rsid w:val="0016175A"/>
    <w:rsid w:val="001701E6"/>
    <w:rsid w:val="00176B94"/>
    <w:rsid w:val="001808A6"/>
    <w:rsid w:val="001A616B"/>
    <w:rsid w:val="001C300C"/>
    <w:rsid w:val="001D060C"/>
    <w:rsid w:val="001E3C4A"/>
    <w:rsid w:val="00201EAF"/>
    <w:rsid w:val="00206830"/>
    <w:rsid w:val="002079EE"/>
    <w:rsid w:val="002176AF"/>
    <w:rsid w:val="00221AC0"/>
    <w:rsid w:val="00223312"/>
    <w:rsid w:val="00230761"/>
    <w:rsid w:val="00231599"/>
    <w:rsid w:val="0024338E"/>
    <w:rsid w:val="0025454A"/>
    <w:rsid w:val="002572AD"/>
    <w:rsid w:val="002643FD"/>
    <w:rsid w:val="00264E6C"/>
    <w:rsid w:val="00267A52"/>
    <w:rsid w:val="002767AD"/>
    <w:rsid w:val="0028510E"/>
    <w:rsid w:val="002915E5"/>
    <w:rsid w:val="002E05A8"/>
    <w:rsid w:val="002E3141"/>
    <w:rsid w:val="00314EA8"/>
    <w:rsid w:val="00321ED6"/>
    <w:rsid w:val="00326E5E"/>
    <w:rsid w:val="00343984"/>
    <w:rsid w:val="00343B17"/>
    <w:rsid w:val="003612A7"/>
    <w:rsid w:val="00371BCA"/>
    <w:rsid w:val="00382752"/>
    <w:rsid w:val="003A6AAA"/>
    <w:rsid w:val="003B09AC"/>
    <w:rsid w:val="003C1A27"/>
    <w:rsid w:val="003E079F"/>
    <w:rsid w:val="004048A4"/>
    <w:rsid w:val="00415403"/>
    <w:rsid w:val="00426230"/>
    <w:rsid w:val="00426E0A"/>
    <w:rsid w:val="00427EA4"/>
    <w:rsid w:val="004306D7"/>
    <w:rsid w:val="0043174C"/>
    <w:rsid w:val="00440AF0"/>
    <w:rsid w:val="0045206C"/>
    <w:rsid w:val="00452D35"/>
    <w:rsid w:val="004542D0"/>
    <w:rsid w:val="004668E5"/>
    <w:rsid w:val="004722DE"/>
    <w:rsid w:val="004B0219"/>
    <w:rsid w:val="004B18D5"/>
    <w:rsid w:val="004B3EBF"/>
    <w:rsid w:val="004C2F8C"/>
    <w:rsid w:val="004C6F69"/>
    <w:rsid w:val="004D14FA"/>
    <w:rsid w:val="004E1F2B"/>
    <w:rsid w:val="004F170C"/>
    <w:rsid w:val="004F40FE"/>
    <w:rsid w:val="004F4B18"/>
    <w:rsid w:val="004F54C9"/>
    <w:rsid w:val="00503462"/>
    <w:rsid w:val="00512C22"/>
    <w:rsid w:val="005227AE"/>
    <w:rsid w:val="00522BC6"/>
    <w:rsid w:val="005254D3"/>
    <w:rsid w:val="00530596"/>
    <w:rsid w:val="00562CB9"/>
    <w:rsid w:val="00571C6D"/>
    <w:rsid w:val="00583C31"/>
    <w:rsid w:val="005861D2"/>
    <w:rsid w:val="00593B7A"/>
    <w:rsid w:val="005A004C"/>
    <w:rsid w:val="005A0D59"/>
    <w:rsid w:val="005A272F"/>
    <w:rsid w:val="005B689A"/>
    <w:rsid w:val="005D1220"/>
    <w:rsid w:val="005D220D"/>
    <w:rsid w:val="005D2246"/>
    <w:rsid w:val="005D315C"/>
    <w:rsid w:val="005E48E4"/>
    <w:rsid w:val="005E5543"/>
    <w:rsid w:val="005F5377"/>
    <w:rsid w:val="005F7075"/>
    <w:rsid w:val="00606E12"/>
    <w:rsid w:val="00613305"/>
    <w:rsid w:val="006155DA"/>
    <w:rsid w:val="0062597A"/>
    <w:rsid w:val="006261E3"/>
    <w:rsid w:val="00633183"/>
    <w:rsid w:val="00634A51"/>
    <w:rsid w:val="006519AF"/>
    <w:rsid w:val="00652692"/>
    <w:rsid w:val="006626AA"/>
    <w:rsid w:val="006630A7"/>
    <w:rsid w:val="00664F83"/>
    <w:rsid w:val="00665D11"/>
    <w:rsid w:val="00670C47"/>
    <w:rsid w:val="0067768B"/>
    <w:rsid w:val="00683064"/>
    <w:rsid w:val="006930C8"/>
    <w:rsid w:val="006A1D8F"/>
    <w:rsid w:val="006A64F2"/>
    <w:rsid w:val="006B3AA4"/>
    <w:rsid w:val="006B49E9"/>
    <w:rsid w:val="006D0CCE"/>
    <w:rsid w:val="006D1BA3"/>
    <w:rsid w:val="006F2766"/>
    <w:rsid w:val="006F5205"/>
    <w:rsid w:val="00705F8A"/>
    <w:rsid w:val="00721BEF"/>
    <w:rsid w:val="00727D0B"/>
    <w:rsid w:val="00731048"/>
    <w:rsid w:val="007349A3"/>
    <w:rsid w:val="00736BB4"/>
    <w:rsid w:val="00761A56"/>
    <w:rsid w:val="00764C00"/>
    <w:rsid w:val="007818EA"/>
    <w:rsid w:val="007843C4"/>
    <w:rsid w:val="00792B3A"/>
    <w:rsid w:val="007A25A6"/>
    <w:rsid w:val="007A2CEC"/>
    <w:rsid w:val="007C36A5"/>
    <w:rsid w:val="007D1ADB"/>
    <w:rsid w:val="007D21F5"/>
    <w:rsid w:val="007D289F"/>
    <w:rsid w:val="007E0367"/>
    <w:rsid w:val="007F24B5"/>
    <w:rsid w:val="00804553"/>
    <w:rsid w:val="008079CA"/>
    <w:rsid w:val="00827961"/>
    <w:rsid w:val="008554AC"/>
    <w:rsid w:val="00866B2B"/>
    <w:rsid w:val="008832DE"/>
    <w:rsid w:val="0088472C"/>
    <w:rsid w:val="008A5F9C"/>
    <w:rsid w:val="008C7AF7"/>
    <w:rsid w:val="008D5D98"/>
    <w:rsid w:val="008F49EC"/>
    <w:rsid w:val="00904729"/>
    <w:rsid w:val="00910A81"/>
    <w:rsid w:val="00923B36"/>
    <w:rsid w:val="00924808"/>
    <w:rsid w:val="009259F6"/>
    <w:rsid w:val="009261D9"/>
    <w:rsid w:val="009306BD"/>
    <w:rsid w:val="009340B1"/>
    <w:rsid w:val="0094066E"/>
    <w:rsid w:val="009463AD"/>
    <w:rsid w:val="00946D0D"/>
    <w:rsid w:val="00954658"/>
    <w:rsid w:val="009612F3"/>
    <w:rsid w:val="0098236A"/>
    <w:rsid w:val="0098583A"/>
    <w:rsid w:val="009A364D"/>
    <w:rsid w:val="009A51F1"/>
    <w:rsid w:val="009A5213"/>
    <w:rsid w:val="009B0D52"/>
    <w:rsid w:val="009D5100"/>
    <w:rsid w:val="009E18A6"/>
    <w:rsid w:val="009E429D"/>
    <w:rsid w:val="009F312F"/>
    <w:rsid w:val="009F503E"/>
    <w:rsid w:val="00A030C1"/>
    <w:rsid w:val="00A0711C"/>
    <w:rsid w:val="00A11D14"/>
    <w:rsid w:val="00A15887"/>
    <w:rsid w:val="00A2231B"/>
    <w:rsid w:val="00A3079D"/>
    <w:rsid w:val="00A3248A"/>
    <w:rsid w:val="00A44648"/>
    <w:rsid w:val="00A46CDE"/>
    <w:rsid w:val="00A5354D"/>
    <w:rsid w:val="00A536E1"/>
    <w:rsid w:val="00A74E51"/>
    <w:rsid w:val="00A824A6"/>
    <w:rsid w:val="00AA16F2"/>
    <w:rsid w:val="00AA23C5"/>
    <w:rsid w:val="00AA2D25"/>
    <w:rsid w:val="00AA4FD1"/>
    <w:rsid w:val="00AA7703"/>
    <w:rsid w:val="00AB0180"/>
    <w:rsid w:val="00AD2049"/>
    <w:rsid w:val="00AF2CBA"/>
    <w:rsid w:val="00AF6FCD"/>
    <w:rsid w:val="00B01743"/>
    <w:rsid w:val="00B01ECE"/>
    <w:rsid w:val="00B04BE2"/>
    <w:rsid w:val="00B35E9E"/>
    <w:rsid w:val="00B43503"/>
    <w:rsid w:val="00B464FA"/>
    <w:rsid w:val="00B478FD"/>
    <w:rsid w:val="00B56A83"/>
    <w:rsid w:val="00B64174"/>
    <w:rsid w:val="00B67C86"/>
    <w:rsid w:val="00B824A1"/>
    <w:rsid w:val="00B87B13"/>
    <w:rsid w:val="00BA6734"/>
    <w:rsid w:val="00BB1343"/>
    <w:rsid w:val="00BB5A78"/>
    <w:rsid w:val="00BC3C52"/>
    <w:rsid w:val="00BC4D9F"/>
    <w:rsid w:val="00BC7A57"/>
    <w:rsid w:val="00BC7DF1"/>
    <w:rsid w:val="00BE2379"/>
    <w:rsid w:val="00BE3161"/>
    <w:rsid w:val="00BE531F"/>
    <w:rsid w:val="00BF2103"/>
    <w:rsid w:val="00C056B8"/>
    <w:rsid w:val="00C2154B"/>
    <w:rsid w:val="00C3356F"/>
    <w:rsid w:val="00C33F15"/>
    <w:rsid w:val="00C51952"/>
    <w:rsid w:val="00C63352"/>
    <w:rsid w:val="00C65DF2"/>
    <w:rsid w:val="00C77E4D"/>
    <w:rsid w:val="00C8154D"/>
    <w:rsid w:val="00C85052"/>
    <w:rsid w:val="00C92A7C"/>
    <w:rsid w:val="00C9431A"/>
    <w:rsid w:val="00CA093E"/>
    <w:rsid w:val="00CA6AFC"/>
    <w:rsid w:val="00CC35FA"/>
    <w:rsid w:val="00CC40E5"/>
    <w:rsid w:val="00CD0154"/>
    <w:rsid w:val="00CD5256"/>
    <w:rsid w:val="00CE2332"/>
    <w:rsid w:val="00CE663B"/>
    <w:rsid w:val="00CE7671"/>
    <w:rsid w:val="00D02383"/>
    <w:rsid w:val="00D03463"/>
    <w:rsid w:val="00D0364B"/>
    <w:rsid w:val="00D06DCB"/>
    <w:rsid w:val="00D22FB0"/>
    <w:rsid w:val="00D37C22"/>
    <w:rsid w:val="00D54279"/>
    <w:rsid w:val="00D83282"/>
    <w:rsid w:val="00D9014A"/>
    <w:rsid w:val="00D91732"/>
    <w:rsid w:val="00D93AEE"/>
    <w:rsid w:val="00D968A1"/>
    <w:rsid w:val="00DA3400"/>
    <w:rsid w:val="00DA5D5F"/>
    <w:rsid w:val="00DA5F11"/>
    <w:rsid w:val="00DA7979"/>
    <w:rsid w:val="00DC2CF6"/>
    <w:rsid w:val="00DC3564"/>
    <w:rsid w:val="00DC3A83"/>
    <w:rsid w:val="00DD07A6"/>
    <w:rsid w:val="00DD228D"/>
    <w:rsid w:val="00DE47B3"/>
    <w:rsid w:val="00DF4B5A"/>
    <w:rsid w:val="00E00E1A"/>
    <w:rsid w:val="00E0122D"/>
    <w:rsid w:val="00E13EAA"/>
    <w:rsid w:val="00E36D40"/>
    <w:rsid w:val="00E41A34"/>
    <w:rsid w:val="00E41EFA"/>
    <w:rsid w:val="00E50071"/>
    <w:rsid w:val="00E542EB"/>
    <w:rsid w:val="00E55F5B"/>
    <w:rsid w:val="00E571CB"/>
    <w:rsid w:val="00E63735"/>
    <w:rsid w:val="00E66901"/>
    <w:rsid w:val="00E75B70"/>
    <w:rsid w:val="00E779E1"/>
    <w:rsid w:val="00E83120"/>
    <w:rsid w:val="00E94933"/>
    <w:rsid w:val="00EA2346"/>
    <w:rsid w:val="00EB4B19"/>
    <w:rsid w:val="00EB4E27"/>
    <w:rsid w:val="00EC1027"/>
    <w:rsid w:val="00EC516D"/>
    <w:rsid w:val="00EE57C1"/>
    <w:rsid w:val="00EE7D4C"/>
    <w:rsid w:val="00EF5F41"/>
    <w:rsid w:val="00F00FC9"/>
    <w:rsid w:val="00F0398D"/>
    <w:rsid w:val="00F16999"/>
    <w:rsid w:val="00F40DD2"/>
    <w:rsid w:val="00F4676F"/>
    <w:rsid w:val="00F53712"/>
    <w:rsid w:val="00F9039F"/>
    <w:rsid w:val="00F964B8"/>
    <w:rsid w:val="00FA4C20"/>
    <w:rsid w:val="00FB3590"/>
    <w:rsid w:val="00FC1E46"/>
    <w:rsid w:val="00FD0F2B"/>
    <w:rsid w:val="00FD273D"/>
    <w:rsid w:val="00FE461A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9A3"/>
    <w:pPr>
      <w:keepNext/>
      <w:jc w:val="center"/>
      <w:outlineLvl w:val="0"/>
    </w:pPr>
    <w:rPr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9A3"/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paragraph" w:styleId="a6">
    <w:name w:val="Normal (Web)"/>
    <w:basedOn w:val="a"/>
    <w:rsid w:val="000412F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12FB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041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0412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4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41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04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A536E1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b"/>
    <w:rsid w:val="00A536E1"/>
    <w:pPr>
      <w:shd w:val="clear" w:color="auto" w:fill="FFFFFF"/>
      <w:spacing w:line="271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styleId="ac">
    <w:name w:val="Emphasis"/>
    <w:uiPriority w:val="20"/>
    <w:qFormat/>
    <w:rsid w:val="00A536E1"/>
    <w:rPr>
      <w:i/>
      <w:iCs/>
    </w:rPr>
  </w:style>
  <w:style w:type="paragraph" w:customStyle="1" w:styleId="ad">
    <w:name w:val="текст"/>
    <w:basedOn w:val="a"/>
    <w:rsid w:val="005A272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ae">
    <w:name w:val="Нормальный (таблица)"/>
    <w:basedOn w:val="a"/>
    <w:next w:val="a"/>
    <w:rsid w:val="00C850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C85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16175A"/>
    <w:rPr>
      <w:color w:val="0000FF"/>
      <w:u w:val="single"/>
    </w:rPr>
  </w:style>
  <w:style w:type="paragraph" w:customStyle="1" w:styleId="Default">
    <w:name w:val="Default"/>
    <w:rsid w:val="00B824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93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93E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B4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B464FA"/>
  </w:style>
  <w:style w:type="paragraph" w:styleId="af5">
    <w:name w:val="header"/>
    <w:basedOn w:val="a"/>
    <w:link w:val="af6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4C66-9F34-46BB-87A3-38486B4A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S02</cp:lastModifiedBy>
  <cp:revision>2</cp:revision>
  <cp:lastPrinted>2023-06-15T06:27:00Z</cp:lastPrinted>
  <dcterms:created xsi:type="dcterms:W3CDTF">2023-11-16T13:08:00Z</dcterms:created>
  <dcterms:modified xsi:type="dcterms:W3CDTF">2023-11-16T13:08:00Z</dcterms:modified>
</cp:coreProperties>
</file>