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0A316C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7948E7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5681E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13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7948E7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5681E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13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AC6199">
        <w:rPr>
          <w:rFonts w:ascii="Times New Roman" w:hAnsi="Times New Roman" w:cs="Times New Roman"/>
          <w:sz w:val="26"/>
          <w:szCs w:val="26"/>
        </w:rPr>
        <w:t>Комсомоль</w:t>
      </w:r>
      <w:r w:rsidR="00177E0B">
        <w:rPr>
          <w:rFonts w:ascii="Times New Roman" w:hAnsi="Times New Roman" w:cs="Times New Roman"/>
          <w:sz w:val="26"/>
          <w:szCs w:val="26"/>
        </w:rPr>
        <w:t>ского</w:t>
      </w:r>
      <w:r w:rsidR="00B16F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177E0B">
      <w:pPr>
        <w:pStyle w:val="a3"/>
        <w:tabs>
          <w:tab w:val="left" w:pos="9356"/>
        </w:tabs>
        <w:ind w:right="-1"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Pr="00DC18CA" w:rsidRDefault="00D702DC" w:rsidP="00DC18CA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AC6199">
        <w:rPr>
          <w:sz w:val="26"/>
          <w:szCs w:val="26"/>
        </w:rPr>
        <w:t>Комсомоль</w:t>
      </w:r>
      <w:r w:rsidR="00177E0B">
        <w:rPr>
          <w:sz w:val="26"/>
          <w:szCs w:val="26"/>
        </w:rPr>
        <w:t>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</w:t>
      </w:r>
      <w:r w:rsidR="00300A55">
        <w:rPr>
          <w:sz w:val="26"/>
          <w:szCs w:val="26"/>
        </w:rPr>
        <w:t xml:space="preserve"> 27 апреля 2023 года</w:t>
      </w:r>
      <w:r w:rsidR="009B6FAB" w:rsidRPr="003A6923">
        <w:rPr>
          <w:sz w:val="26"/>
          <w:szCs w:val="26"/>
        </w:rPr>
        <w:t xml:space="preserve"> </w:t>
      </w:r>
      <w:r w:rsidR="005D4B78">
        <w:rPr>
          <w:sz w:val="26"/>
          <w:szCs w:val="26"/>
        </w:rPr>
        <w:t xml:space="preserve">в административном здании </w:t>
      </w:r>
      <w:r w:rsidR="008B08DB">
        <w:rPr>
          <w:sz w:val="26"/>
          <w:szCs w:val="26"/>
        </w:rPr>
        <w:t>Комсомольского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 xml:space="preserve">, расположенного по адресу: </w:t>
      </w:r>
      <w:r w:rsidR="00995FA8" w:rsidRPr="00995FA8">
        <w:rPr>
          <w:sz w:val="26"/>
          <w:szCs w:val="26"/>
        </w:rPr>
        <w:t xml:space="preserve">Комсомольский район, </w:t>
      </w:r>
      <w:r w:rsidR="00DC18CA" w:rsidRPr="00DC18CA">
        <w:rPr>
          <w:sz w:val="26"/>
          <w:szCs w:val="26"/>
        </w:rPr>
        <w:t>с. Комсомольское, ул. Канашская, д.</w:t>
      </w:r>
      <w:r w:rsidR="000920ED">
        <w:rPr>
          <w:sz w:val="26"/>
          <w:szCs w:val="26"/>
        </w:rPr>
        <w:t xml:space="preserve"> </w:t>
      </w:r>
      <w:r w:rsidR="00DC18CA" w:rsidRPr="00DC18CA">
        <w:rPr>
          <w:sz w:val="26"/>
          <w:szCs w:val="26"/>
        </w:rPr>
        <w:t>22</w:t>
      </w:r>
      <w:r w:rsidR="00F6453A" w:rsidRPr="00F6453A">
        <w:rPr>
          <w:sz w:val="26"/>
          <w:szCs w:val="26"/>
        </w:rPr>
        <w:t xml:space="preserve">, </w:t>
      </w:r>
      <w:r w:rsidR="005D4B78">
        <w:rPr>
          <w:sz w:val="26"/>
          <w:szCs w:val="26"/>
        </w:rPr>
        <w:t xml:space="preserve">начало в </w:t>
      </w:r>
      <w:r w:rsidR="005D4B78" w:rsidRPr="003E215C">
        <w:rPr>
          <w:sz w:val="26"/>
          <w:szCs w:val="26"/>
        </w:rPr>
        <w:t>1</w:t>
      </w:r>
      <w:r w:rsidR="00DC18CA">
        <w:rPr>
          <w:sz w:val="26"/>
          <w:szCs w:val="26"/>
        </w:rPr>
        <w:t>1</w:t>
      </w:r>
      <w:r w:rsidR="005D4B78" w:rsidRPr="003E215C">
        <w:rPr>
          <w:sz w:val="26"/>
          <w:szCs w:val="26"/>
        </w:rPr>
        <w:t>-</w:t>
      </w:r>
      <w:r w:rsidR="00DC18CA">
        <w:rPr>
          <w:sz w:val="26"/>
          <w:szCs w:val="26"/>
        </w:rPr>
        <w:t>3</w:t>
      </w:r>
      <w:r w:rsidR="005D4B78" w:rsidRPr="003E215C">
        <w:rPr>
          <w:sz w:val="26"/>
          <w:szCs w:val="26"/>
        </w:rPr>
        <w:t>0</w:t>
      </w:r>
      <w:r w:rsidR="00DC18CA">
        <w:rPr>
          <w:sz w:val="26"/>
          <w:szCs w:val="26"/>
        </w:rPr>
        <w:t xml:space="preserve"> часов.</w:t>
      </w:r>
    </w:p>
    <w:p w:rsidR="00D54500" w:rsidRDefault="00E73A2B" w:rsidP="00DC18CA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AC6199">
        <w:rPr>
          <w:sz w:val="26"/>
          <w:szCs w:val="26"/>
        </w:rPr>
        <w:t>Комсомоль</w:t>
      </w:r>
      <w:r w:rsidR="00D54500">
        <w:rPr>
          <w:sz w:val="26"/>
          <w:szCs w:val="26"/>
        </w:rPr>
        <w:t xml:space="preserve">ского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920ED">
        <w:rPr>
          <w:sz w:val="26"/>
          <w:szCs w:val="26"/>
        </w:rPr>
        <w:t>Илларионову М.А.,</w:t>
      </w:r>
      <w:r>
        <w:rPr>
          <w:sz w:val="26"/>
          <w:szCs w:val="26"/>
        </w:rPr>
        <w:t xml:space="preserve"> начальника  </w:t>
      </w:r>
      <w:r w:rsidR="00AC6199">
        <w:rPr>
          <w:sz w:val="26"/>
          <w:szCs w:val="26"/>
        </w:rPr>
        <w:t>Комсомоль</w:t>
      </w:r>
      <w:r>
        <w:rPr>
          <w:sz w:val="26"/>
          <w:szCs w:val="26"/>
        </w:rPr>
        <w:t>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177E0B">
      <w:pPr>
        <w:tabs>
          <w:tab w:val="left" w:pos="935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«Об утверждении отчета об исполнении бюджета</w:t>
      </w:r>
      <w:r w:rsidR="003A63FA">
        <w:rPr>
          <w:sz w:val="26"/>
          <w:szCs w:val="26"/>
        </w:rPr>
        <w:t xml:space="preserve"> Комсомольского сельского поселения</w:t>
      </w:r>
      <w:r w:rsidR="00636AB6" w:rsidRPr="003A6923">
        <w:rPr>
          <w:sz w:val="26"/>
          <w:szCs w:val="26"/>
        </w:rPr>
        <w:t xml:space="preserve"> 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AC6199">
        <w:rPr>
          <w:sz w:val="26"/>
          <w:szCs w:val="26"/>
        </w:rPr>
        <w:t>Комсомоль</w:t>
      </w:r>
      <w:r w:rsidR="00B70E28">
        <w:rPr>
          <w:sz w:val="26"/>
          <w:szCs w:val="26"/>
        </w:rPr>
        <w:t xml:space="preserve">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177E0B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4E157D" w:rsidRPr="003A6923" w:rsidRDefault="004E157D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FB1343" w:rsidRDefault="00A962B3" w:rsidP="00177E0B">
      <w:pPr>
        <w:tabs>
          <w:tab w:val="left" w:pos="9356"/>
        </w:tabs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177E0B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</w:t>
      </w:r>
      <w:r w:rsidR="00177E0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А.Н. Осипов</w:t>
      </w: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0A316C" w:rsidRPr="00683417" w:rsidTr="00C5034C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683417" w:rsidRDefault="000A316C" w:rsidP="00C503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683417" w:rsidRDefault="000A316C" w:rsidP="00C5034C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A65E7F" w:rsidRDefault="000A316C" w:rsidP="00C5034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0A316C" w:rsidRPr="00683417" w:rsidTr="00C5034C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683417" w:rsidRDefault="000A316C" w:rsidP="00C5034C">
            <w:pPr>
              <w:jc w:val="center"/>
            </w:pPr>
            <w:r w:rsidRPr="00683417">
              <w:t>ЧĂВАШ РЕСПУБЛИКИН</w:t>
            </w:r>
          </w:p>
          <w:p w:rsidR="000A316C" w:rsidRPr="00683417" w:rsidRDefault="000A316C" w:rsidP="00C5034C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0A316C" w:rsidRPr="00683417" w:rsidRDefault="000A316C" w:rsidP="00C5034C">
            <w:pPr>
              <w:jc w:val="center"/>
            </w:pPr>
            <w:r w:rsidRPr="00683417">
              <w:t>ДЕПУТАТСЕН ПУХĂВĔ</w:t>
            </w:r>
          </w:p>
          <w:p w:rsidR="000A316C" w:rsidRPr="00683417" w:rsidRDefault="000A316C" w:rsidP="00C5034C">
            <w:pPr>
              <w:jc w:val="center"/>
            </w:pPr>
          </w:p>
          <w:p w:rsidR="000A316C" w:rsidRPr="00683417" w:rsidRDefault="000A316C" w:rsidP="00C5034C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683417" w:rsidRDefault="000A316C" w:rsidP="00C5034C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316C" w:rsidRPr="00683417" w:rsidRDefault="000A316C" w:rsidP="00C5034C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0A316C" w:rsidRPr="00683417" w:rsidRDefault="000A316C" w:rsidP="00C5034C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0A316C" w:rsidRPr="00683417" w:rsidRDefault="000A316C" w:rsidP="00C5034C">
            <w:pPr>
              <w:ind w:firstLine="23"/>
              <w:jc w:val="center"/>
            </w:pPr>
          </w:p>
          <w:p w:rsidR="000A316C" w:rsidRPr="00683417" w:rsidRDefault="000A316C" w:rsidP="00C5034C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0A316C" w:rsidRDefault="000A316C" w:rsidP="000A316C"/>
    <w:p w:rsidR="000A316C" w:rsidRPr="002E2009" w:rsidRDefault="000A316C" w:rsidP="000A316C">
      <w:pPr>
        <w:jc w:val="both"/>
      </w:pPr>
    </w:p>
    <w:p w:rsidR="000A316C" w:rsidRPr="00D5798D" w:rsidRDefault="000A316C" w:rsidP="000A316C">
      <w:pPr>
        <w:ind w:right="4711"/>
        <w:jc w:val="both"/>
        <w:rPr>
          <w:b/>
          <w:sz w:val="26"/>
          <w:szCs w:val="26"/>
        </w:rPr>
      </w:pPr>
      <w:r w:rsidRPr="00D5798D">
        <w:rPr>
          <w:b/>
          <w:sz w:val="26"/>
          <w:szCs w:val="26"/>
        </w:rPr>
        <w:t xml:space="preserve">Об утверждении отчета об исполнении бюджета Комсомольского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D5798D">
        <w:rPr>
          <w:b/>
          <w:sz w:val="26"/>
          <w:szCs w:val="26"/>
        </w:rPr>
        <w:t xml:space="preserve"> год</w:t>
      </w:r>
    </w:p>
    <w:p w:rsidR="000A316C" w:rsidRPr="00D5798D" w:rsidRDefault="000A316C" w:rsidP="000A316C">
      <w:pPr>
        <w:jc w:val="both"/>
        <w:rPr>
          <w:sz w:val="26"/>
          <w:szCs w:val="26"/>
        </w:rPr>
      </w:pPr>
    </w:p>
    <w:p w:rsidR="000A316C" w:rsidRPr="00D5798D" w:rsidRDefault="000A316C" w:rsidP="000A316C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D5798D">
        <w:rPr>
          <w:sz w:val="26"/>
          <w:szCs w:val="26"/>
        </w:rPr>
        <w:t xml:space="preserve"> р е ш и л о:</w:t>
      </w:r>
    </w:p>
    <w:p w:rsidR="000A316C" w:rsidRDefault="000A316C" w:rsidP="000A316C">
      <w:pPr>
        <w:ind w:firstLine="720"/>
        <w:jc w:val="both"/>
        <w:rPr>
          <w:b/>
          <w:sz w:val="26"/>
          <w:szCs w:val="26"/>
        </w:rPr>
      </w:pPr>
    </w:p>
    <w:p w:rsidR="000A316C" w:rsidRPr="00D5798D" w:rsidRDefault="000A316C" w:rsidP="000A316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0A316C" w:rsidRPr="00D5798D" w:rsidRDefault="000A316C" w:rsidP="000A316C">
      <w:pPr>
        <w:ind w:firstLine="720"/>
        <w:jc w:val="both"/>
        <w:rPr>
          <w:sz w:val="26"/>
          <w:szCs w:val="26"/>
        </w:rPr>
      </w:pPr>
      <w:r w:rsidRPr="00D5798D">
        <w:rPr>
          <w:sz w:val="26"/>
          <w:szCs w:val="26"/>
        </w:rPr>
        <w:t xml:space="preserve">Утвердить отчет об исполнении бюджета Комсомольского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D5798D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 xml:space="preserve">      38 009 964,19</w:t>
      </w:r>
      <w:r w:rsidRPr="00D5798D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798D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41 958 613,09</w:t>
      </w:r>
      <w:r w:rsidRPr="00D5798D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798D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расходов</w:t>
      </w:r>
      <w:r w:rsidRPr="00D5798D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D5798D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дефицит </w:t>
      </w:r>
      <w:r w:rsidRPr="00D5798D">
        <w:rPr>
          <w:sz w:val="26"/>
          <w:szCs w:val="26"/>
        </w:rPr>
        <w:t xml:space="preserve">бюджета) в сумме </w:t>
      </w:r>
      <w:r>
        <w:rPr>
          <w:sz w:val="26"/>
          <w:szCs w:val="26"/>
        </w:rPr>
        <w:t>3 948 648,90</w:t>
      </w:r>
      <w:r w:rsidRPr="00D5798D">
        <w:rPr>
          <w:sz w:val="26"/>
          <w:szCs w:val="26"/>
        </w:rPr>
        <w:t xml:space="preserve"> рублей и со следующими показателями:</w:t>
      </w:r>
    </w:p>
    <w:p w:rsidR="000A316C" w:rsidRPr="00D5798D" w:rsidRDefault="000A316C" w:rsidP="000A316C">
      <w:pPr>
        <w:ind w:firstLine="720"/>
        <w:jc w:val="both"/>
        <w:rPr>
          <w:sz w:val="26"/>
          <w:szCs w:val="26"/>
        </w:rPr>
      </w:pPr>
      <w:r w:rsidRPr="00D5798D">
        <w:rPr>
          <w:sz w:val="26"/>
          <w:szCs w:val="26"/>
        </w:rPr>
        <w:t xml:space="preserve">доходов бюджета Комсомольского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D5798D">
        <w:rPr>
          <w:sz w:val="26"/>
          <w:szCs w:val="26"/>
        </w:rPr>
        <w:t xml:space="preserve"> год согласно приложению № 1 к настоящему решению;</w:t>
      </w:r>
    </w:p>
    <w:p w:rsidR="000A316C" w:rsidRPr="00D5798D" w:rsidRDefault="000A316C" w:rsidP="000A316C">
      <w:pPr>
        <w:ind w:firstLine="720"/>
        <w:jc w:val="both"/>
        <w:rPr>
          <w:sz w:val="26"/>
          <w:szCs w:val="26"/>
        </w:rPr>
      </w:pPr>
      <w:r w:rsidRPr="00D5798D">
        <w:rPr>
          <w:sz w:val="26"/>
          <w:szCs w:val="26"/>
        </w:rPr>
        <w:t xml:space="preserve">расходов бюджета Комсомольского сельского поселения Комсомольского района Чувашской Республики по ведомственной структуре расходов бюджета Комсомольского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D5798D">
        <w:rPr>
          <w:sz w:val="26"/>
          <w:szCs w:val="26"/>
        </w:rPr>
        <w:t xml:space="preserve"> год согласно приложению № 2 к настоящему решению;</w:t>
      </w:r>
    </w:p>
    <w:p w:rsidR="000A316C" w:rsidRDefault="000A316C" w:rsidP="000A316C">
      <w:pPr>
        <w:ind w:firstLine="720"/>
        <w:jc w:val="both"/>
        <w:rPr>
          <w:sz w:val="26"/>
          <w:szCs w:val="26"/>
        </w:rPr>
      </w:pPr>
      <w:r w:rsidRPr="00D5798D">
        <w:rPr>
          <w:sz w:val="26"/>
          <w:szCs w:val="26"/>
        </w:rPr>
        <w:t xml:space="preserve">расходов бюджета Комсомольского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2022</w:t>
      </w:r>
      <w:r w:rsidRPr="00D5798D">
        <w:rPr>
          <w:sz w:val="26"/>
          <w:szCs w:val="26"/>
        </w:rPr>
        <w:t xml:space="preserve"> год согласно приложению № 3 к настоящему решению;</w:t>
      </w:r>
    </w:p>
    <w:p w:rsidR="000A316C" w:rsidRPr="00D5798D" w:rsidRDefault="000A316C" w:rsidP="000A316C">
      <w:pPr>
        <w:ind w:firstLine="720"/>
        <w:jc w:val="both"/>
        <w:rPr>
          <w:sz w:val="26"/>
          <w:szCs w:val="26"/>
        </w:rPr>
      </w:pPr>
      <w:r w:rsidRPr="00D5798D">
        <w:rPr>
          <w:sz w:val="26"/>
          <w:szCs w:val="26"/>
        </w:rPr>
        <w:t xml:space="preserve">источников финансирования дефицита бюджета Комсомольского сельского поселения Комсомольского района Чувашской Республики по кодам классификации источников финансирования дефицита бюджетов за </w:t>
      </w:r>
      <w:r>
        <w:rPr>
          <w:sz w:val="26"/>
          <w:szCs w:val="26"/>
        </w:rPr>
        <w:t>2022</w:t>
      </w:r>
      <w:r w:rsidRPr="00D5798D">
        <w:rPr>
          <w:sz w:val="26"/>
          <w:szCs w:val="26"/>
        </w:rPr>
        <w:t xml:space="preserve"> год согласно приложению № 4 к настоящему решению. </w:t>
      </w:r>
    </w:p>
    <w:p w:rsidR="000A316C" w:rsidRDefault="000A316C" w:rsidP="000A316C">
      <w:pPr>
        <w:ind w:firstLine="720"/>
        <w:jc w:val="both"/>
        <w:rPr>
          <w:b/>
          <w:sz w:val="26"/>
          <w:szCs w:val="26"/>
        </w:rPr>
      </w:pPr>
    </w:p>
    <w:p w:rsidR="000A316C" w:rsidRPr="00D5798D" w:rsidRDefault="000A316C" w:rsidP="000A316C">
      <w:pPr>
        <w:ind w:firstLine="720"/>
        <w:jc w:val="both"/>
        <w:rPr>
          <w:b/>
          <w:sz w:val="26"/>
          <w:szCs w:val="26"/>
        </w:rPr>
      </w:pPr>
      <w:r w:rsidRPr="00D5798D">
        <w:rPr>
          <w:b/>
          <w:sz w:val="26"/>
          <w:szCs w:val="26"/>
        </w:rPr>
        <w:t>Статья 2</w:t>
      </w:r>
    </w:p>
    <w:p w:rsidR="000A316C" w:rsidRPr="00D5798D" w:rsidRDefault="000A316C" w:rsidP="000A316C">
      <w:pPr>
        <w:ind w:firstLine="709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0A316C" w:rsidRDefault="000A316C" w:rsidP="000A316C">
      <w:pPr>
        <w:widowControl w:val="0"/>
        <w:jc w:val="both"/>
        <w:rPr>
          <w:sz w:val="26"/>
          <w:szCs w:val="26"/>
        </w:rPr>
      </w:pPr>
    </w:p>
    <w:p w:rsidR="000A316C" w:rsidRPr="00BB753F" w:rsidRDefault="000A316C" w:rsidP="000A316C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0A316C" w:rsidRPr="00BB753F" w:rsidRDefault="000A316C" w:rsidP="000A316C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0A316C" w:rsidRPr="0009386E" w:rsidRDefault="000A316C" w:rsidP="000A316C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0A316C" w:rsidRPr="0009386E" w:rsidRDefault="000A316C" w:rsidP="000A316C">
      <w:pPr>
        <w:jc w:val="both"/>
        <w:rPr>
          <w:bCs/>
          <w:sz w:val="26"/>
          <w:szCs w:val="26"/>
        </w:rPr>
      </w:pPr>
    </w:p>
    <w:p w:rsidR="000A316C" w:rsidRPr="0009386E" w:rsidRDefault="000A316C" w:rsidP="000A316C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0A316C" w:rsidRPr="0009386E" w:rsidRDefault="000A316C" w:rsidP="000A316C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0A316C" w:rsidRPr="00C50C65" w:rsidRDefault="000A316C" w:rsidP="000A316C">
      <w:pPr>
        <w:widowControl w:val="0"/>
        <w:jc w:val="both"/>
        <w:rPr>
          <w:sz w:val="26"/>
          <w:szCs w:val="26"/>
        </w:rPr>
      </w:pPr>
    </w:p>
    <w:p w:rsidR="000A316C" w:rsidRPr="00D5798D" w:rsidRDefault="000A316C" w:rsidP="000A316C">
      <w:pPr>
        <w:widowControl w:val="0"/>
        <w:jc w:val="both"/>
        <w:rPr>
          <w:sz w:val="26"/>
          <w:szCs w:val="26"/>
        </w:rPr>
      </w:pPr>
    </w:p>
    <w:tbl>
      <w:tblPr>
        <w:tblW w:w="9796" w:type="dxa"/>
        <w:tblInd w:w="93" w:type="dxa"/>
        <w:tblLook w:val="04A0"/>
      </w:tblPr>
      <w:tblGrid>
        <w:gridCol w:w="2934"/>
        <w:gridCol w:w="1872"/>
        <w:gridCol w:w="2616"/>
        <w:gridCol w:w="2374"/>
      </w:tblGrid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Приложение № 1                                                                                                             к решению Собрания депутатов Комсомольского муниципального округа Чувашской Республики  "Об утверждении отчета об исполнении                                           бюджета Комсомольского сельского поселения                                     Комсомольского района Чувашской Республики за 2021 год" от __ .___.2022 года №__</w:t>
            </w:r>
          </w:p>
        </w:tc>
      </w:tr>
      <w:tr w:rsidR="000A316C" w:rsidRPr="000A316C" w:rsidTr="000A316C">
        <w:trPr>
          <w:trHeight w:val="196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A316C" w:rsidRPr="000A316C" w:rsidTr="000A316C">
        <w:trPr>
          <w:trHeight w:val="6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  <w:color w:val="000000"/>
              </w:rPr>
            </w:pPr>
            <w:r w:rsidRPr="000A316C">
              <w:rPr>
                <w:b/>
                <w:bCs/>
                <w:color w:val="000000"/>
              </w:rPr>
              <w:t>Доходы  бюджета Комсомольского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0A316C" w:rsidRPr="000A316C" w:rsidTr="000A316C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(рублей)</w:t>
            </w:r>
          </w:p>
        </w:tc>
      </w:tr>
      <w:tr w:rsidR="000A316C" w:rsidRPr="000A316C" w:rsidTr="000A316C">
        <w:trPr>
          <w:trHeight w:val="300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Наименование доходов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Кассовое исполнение</w:t>
            </w:r>
          </w:p>
        </w:tc>
      </w:tr>
      <w:tr w:rsidR="000A316C" w:rsidRPr="000A316C" w:rsidTr="000A316C">
        <w:trPr>
          <w:trHeight w:val="157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Pr="000A316C" w:rsidRDefault="000A316C" w:rsidP="000A316C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администратора поступлений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доходов бюджета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Pr="000A316C" w:rsidRDefault="000A316C" w:rsidP="000A316C"/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4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939 893,06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939 893,06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939 893,06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10302000000000000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939 893,06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10302231010000110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471 175,01</w:t>
            </w:r>
          </w:p>
        </w:tc>
      </w:tr>
      <w:tr w:rsidR="000A316C" w:rsidRPr="000A316C" w:rsidTr="000A316C">
        <w:trPr>
          <w:trHeight w:val="378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10302241010000110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2 545,08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10302251010000110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520 230,41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10302261010000110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-54 057,44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10 634 312,52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10 634 312,52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2 678 679,49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2 678 679,49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10102010011000110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2 408 921,35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10102010012100110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2 126,14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10102010013000110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853,00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10102010014000110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0,68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10102020011000110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25 868,04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10102020012100110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1 979,45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0A316C">
              <w:rPr>
                <w:color w:val="00000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18210102020013000110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836,50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10102030011000110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21 221,49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10102030012100110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198,08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10102030013000110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71,85</w:t>
            </w:r>
          </w:p>
        </w:tc>
      </w:tr>
      <w:tr w:rsidR="000A316C" w:rsidRPr="000A316C" w:rsidTr="000A316C">
        <w:trPr>
          <w:trHeight w:val="283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10102080011000110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216 362,91</w:t>
            </w:r>
          </w:p>
        </w:tc>
      </w:tr>
      <w:tr w:rsidR="000A316C" w:rsidRPr="000A316C" w:rsidTr="000A316C">
        <w:trPr>
          <w:trHeight w:val="283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10102080012100110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240,00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10500000000000000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2 377 549,51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10503000000000000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2 377 549,51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10503010011000110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2 377 079,66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10503010012100110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469,85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10503010014000110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0,00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5 578 083,52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10601000000000000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3 350 861,08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10601030101000110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3 343 594,61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10601030102100110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7 266,47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Земельный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2 227 222,44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10606033101000110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1 142 469,85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10606033102100110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19 459,79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10606033103000110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500,00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10606033104000110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0,00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10606043101000110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1 049 679,85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10606043102100110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15 222,32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10606043103000110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-109,37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26 435 758,61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662 381,98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7 069,80</w:t>
            </w:r>
          </w:p>
        </w:tc>
      </w:tr>
      <w:tr w:rsidR="000A316C" w:rsidRPr="000A316C" w:rsidTr="000A316C">
        <w:trPr>
          <w:trHeight w:val="283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11105000000000000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6 369,80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11105025100000120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4 369,80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11105075100000120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2 000,00</w:t>
            </w:r>
          </w:p>
        </w:tc>
      </w:tr>
      <w:tr w:rsidR="000A316C" w:rsidRPr="000A316C" w:rsidTr="000A316C">
        <w:trPr>
          <w:trHeight w:val="252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11109000000000000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700,00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11109045100000120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700,00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ДОХОДЫ ОТ ОКАЗАНИЯ ПЛАТНЫХ УСЛУГ И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11300000000000000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91 782,45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Доходы от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11302000000000000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91 782,45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11302065100000130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90 723,43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Прочие доходы от компенсации затрат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11302995100000130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1 059,02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ДОХОДЫ ОТ ПРОДАЖИ МАТЕРИАЛЬНЫХ И НЕМАТЕРИАЛЬНЫХ АКТИВОВ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11400000000000000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10 000,00</w:t>
            </w:r>
          </w:p>
        </w:tc>
      </w:tr>
      <w:tr w:rsidR="000A316C" w:rsidRPr="000A316C" w:rsidTr="000A316C">
        <w:trPr>
          <w:trHeight w:val="252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11402000000000000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10 000,00</w:t>
            </w:r>
          </w:p>
        </w:tc>
      </w:tr>
      <w:tr w:rsidR="000A316C" w:rsidRPr="000A316C" w:rsidTr="000A316C">
        <w:trPr>
          <w:trHeight w:val="283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99311402053100000440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10 000,00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ШТРАФЫ, САНКЦИИ, ВОЗМЕЩЕНИЕ УЩЕРБА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11600000000000000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38 025,17</w:t>
            </w:r>
          </w:p>
        </w:tc>
      </w:tr>
      <w:tr w:rsidR="000A316C" w:rsidRPr="000A316C" w:rsidTr="000A316C">
        <w:trPr>
          <w:trHeight w:val="346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0A316C">
              <w:rPr>
                <w:color w:val="000000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11607000000000000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15 260,37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11607010100000140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15 260,37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Платежи в целях возмещения причиненного ущерба (убытков)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11610000000000000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22 764,80</w:t>
            </w:r>
          </w:p>
        </w:tc>
      </w:tr>
      <w:tr w:rsidR="000A316C" w:rsidRPr="000A316C" w:rsidTr="000A316C">
        <w:trPr>
          <w:trHeight w:val="157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11610031100000140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1 840,00</w:t>
            </w:r>
          </w:p>
        </w:tc>
      </w:tr>
      <w:tr w:rsidR="000A316C" w:rsidRPr="000A316C" w:rsidTr="000A316C">
        <w:trPr>
          <w:trHeight w:val="220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0A316C">
              <w:rPr>
                <w:color w:val="000000"/>
              </w:rPr>
              <w:lastRenderedPageBreak/>
              <w:t>предприятиями)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99311610032100000140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20 924,80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ПРОЧИЕ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11700000000000000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515 504,56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11715000000000000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515 504,56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11715030100000150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515 504,56</w:t>
            </w:r>
          </w:p>
        </w:tc>
      </w:tr>
      <w:tr w:rsidR="000A316C" w:rsidRPr="000A316C" w:rsidTr="000A316C">
        <w:trPr>
          <w:trHeight w:val="31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20000000000000000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25 773 376,63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25 705 140,03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20215000000000000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6 490 714,00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20215001100000150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6 490 714,00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20220000000000000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1 899 653,00</w:t>
            </w:r>
          </w:p>
        </w:tc>
      </w:tr>
      <w:tr w:rsidR="000A316C" w:rsidRPr="000A316C" w:rsidTr="000A316C">
        <w:trPr>
          <w:trHeight w:val="252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0A316C">
              <w:rPr>
                <w:color w:val="000000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20220216100000150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1 899 653,00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  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20225555100000150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5 151 263,09</w:t>
            </w:r>
          </w:p>
        </w:tc>
      </w:tr>
      <w:tr w:rsidR="000A316C" w:rsidRPr="000A316C" w:rsidTr="000A316C">
        <w:trPr>
          <w:trHeight w:val="94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20229000000000000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10 176 035,21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20229999100000150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10 176 035,21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20230000000000000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35 727,70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20230024100000150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35 727,70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20249000000000000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1 951 747,03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20249999100000150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1 951 747,03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20700000000000000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69 232,08</w:t>
            </w:r>
          </w:p>
        </w:tc>
      </w:tr>
      <w:tr w:rsidR="000A316C" w:rsidRPr="000A316C" w:rsidTr="000A316C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20705030100000150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69 232,08</w:t>
            </w:r>
          </w:p>
        </w:tc>
      </w:tr>
      <w:tr w:rsidR="000A316C" w:rsidRPr="000A316C" w:rsidTr="000A316C">
        <w:trPr>
          <w:trHeight w:val="1260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21900000000000000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-995,48</w:t>
            </w:r>
          </w:p>
        </w:tc>
      </w:tr>
      <w:tr w:rsidR="000A316C" w:rsidRPr="000A316C" w:rsidTr="000A316C">
        <w:trPr>
          <w:trHeight w:val="1575"/>
        </w:trPr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21960010100000150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-995,48</w:t>
            </w:r>
          </w:p>
        </w:tc>
      </w:tr>
      <w:tr w:rsidR="000A316C" w:rsidRPr="000A316C" w:rsidTr="000A316C">
        <w:trPr>
          <w:trHeight w:val="315"/>
        </w:trPr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rPr>
                <w:b/>
                <w:bCs/>
                <w:color w:val="000000"/>
              </w:rPr>
            </w:pPr>
            <w:r w:rsidRPr="000A316C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b/>
                <w:bCs/>
                <w:color w:val="000000"/>
              </w:rPr>
            </w:pPr>
            <w:r w:rsidRPr="000A316C">
              <w:rPr>
                <w:b/>
                <w:bCs/>
                <w:color w:val="000000"/>
              </w:rPr>
              <w:t>38 009 964,19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3522"/>
        <w:gridCol w:w="605"/>
        <w:gridCol w:w="812"/>
        <w:gridCol w:w="1523"/>
        <w:gridCol w:w="788"/>
        <w:gridCol w:w="2121"/>
      </w:tblGrid>
      <w:tr w:rsidR="000A316C" w:rsidTr="000A316C">
        <w:trPr>
          <w:trHeight w:val="198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Default="000A31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Default="000A31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Комсомольского сельского поселения Комсомольского района Чувашской Республики за 2021 год" от        2022 года  № _</w:t>
            </w:r>
          </w:p>
        </w:tc>
      </w:tr>
      <w:tr w:rsidR="000A316C" w:rsidTr="000A316C">
        <w:trPr>
          <w:trHeight w:val="304"/>
        </w:trPr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Default="000A31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16C" w:rsidRDefault="000A31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A316C" w:rsidTr="000A316C">
        <w:trPr>
          <w:trHeight w:val="319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6C" w:rsidRDefault="000A3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0A316C" w:rsidTr="000A316C">
        <w:trPr>
          <w:trHeight w:val="142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16C" w:rsidRDefault="000A3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Комсомольского сельского поселения Комсомольского района Чувашской Республики по ведомственной структуре расходов бюджета Комсомольского сельского поселения Комсомольского района Чувашской Республики за 2022 год </w:t>
            </w:r>
          </w:p>
        </w:tc>
      </w:tr>
      <w:tr w:rsidR="000A316C" w:rsidTr="000A316C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0A316C" w:rsidTr="000A316C">
        <w:trPr>
          <w:trHeight w:val="525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Наименование расходов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Вед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Рз,ПР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ВР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Исполнено</w:t>
            </w:r>
          </w:p>
        </w:tc>
      </w:tr>
      <w:tr w:rsidR="000A316C" w:rsidTr="000A316C">
        <w:trPr>
          <w:trHeight w:val="30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Default="000A316C"/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6C" w:rsidRDefault="000A316C"/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Default="000A316C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Default="000A316C"/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6C" w:rsidRDefault="000A316C"/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16C" w:rsidRDefault="000A316C"/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16C" w:rsidRDefault="000A316C">
            <w:pPr>
              <w:jc w:val="center"/>
            </w:pPr>
            <w:r>
              <w:t>6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3 150 179,70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2 835 453,70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135 092,00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135 092,00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135 092,00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135 092,00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135 092,00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2 700 361,70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2 700 361,70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2 700 361,70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2 383 645,56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2 383 645,56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311 716,14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311 716,14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314 726,00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297 440,00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297 440,00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297 440,00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297 440,00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297 440,00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17 286,00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17 286,00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17 286,00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17 286,00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17 286,00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5 637 426,32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"Содействие занятости населения"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69 533,39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95 840,70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95 840,70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35 727,70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35 727,70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35 727,70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35 727,70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60 113,00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60 113,00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60 113,00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60 113,00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5 260 782,89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847 129,00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847 129,00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847 129,00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847 129,00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847 129,00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4 413 653,89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4 413 653,89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4 413 653,89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4 413 653,89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4 413 653,89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211 269,34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75 269,34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75 269,34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75 269,34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75 269,34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75 269,34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</w:tr>
      <w:tr w:rsidR="000A316C" w:rsidTr="000A316C">
        <w:trPr>
          <w:trHeight w:val="283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28 843 975,23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177 027,93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5 029 666,45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3 592 305,38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3 592 305,38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3 592 305,38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3 592 305,38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3 592 305,38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1 437 361,07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1 437 361,07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994 436,40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994 436,40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994 436,40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442 924,67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442 924,67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442 924,67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22 924 342,87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14 016 796,90</w:t>
            </w:r>
          </w:p>
        </w:tc>
      </w:tr>
      <w:tr w:rsidR="000A316C" w:rsidTr="000A316C">
        <w:trPr>
          <w:trHeight w:val="220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14 016 796,90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8 865 533,81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8 865 533,81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8 865 533,81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5 151 263,09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5 151 263,09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5 151 263,09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8 907 545,97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8 907 545,97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792 376,61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792 376,61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792 376,61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8 115 169,36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8 113 969,36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8 113 969,36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189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712 937,98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4 320 756,84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3 644 121,84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3 629 225,84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3 629 225,84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3 629 225,84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1 649 099,92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1 649 099,92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811 125,92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811 125,92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1 169 000,00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1 169 000,00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14 896,00</w:t>
            </w:r>
          </w:p>
        </w:tc>
      </w:tr>
      <w:tr w:rsidR="000A316C" w:rsidTr="000A316C">
        <w:trPr>
          <w:trHeight w:val="346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14 896,00</w:t>
            </w:r>
          </w:p>
        </w:tc>
      </w:tr>
      <w:tr w:rsidR="000A316C" w:rsidTr="000A316C">
        <w:trPr>
          <w:trHeight w:val="346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14 896,00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14 896,00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14 896,00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676 635,00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676 635,00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676 635,00</w:t>
            </w:r>
          </w:p>
        </w:tc>
      </w:tr>
      <w:tr w:rsidR="000A316C" w:rsidTr="000A316C">
        <w:trPr>
          <w:trHeight w:val="94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676 635,00</w:t>
            </w:r>
          </w:p>
        </w:tc>
      </w:tr>
      <w:tr w:rsidR="000A316C" w:rsidTr="000A316C">
        <w:trPr>
          <w:trHeight w:val="252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673 635,00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673 635,00</w:t>
            </w:r>
          </w:p>
        </w:tc>
      </w:tr>
      <w:tr w:rsidR="000A316C" w:rsidTr="000A316C">
        <w:trPr>
          <w:trHeight w:val="31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63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1575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1260"/>
        </w:trPr>
        <w:tc>
          <w:tcPr>
            <w:tcW w:w="3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Default="000A31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6 275,00</w:t>
            </w:r>
          </w:p>
        </w:tc>
      </w:tr>
      <w:tr w:rsidR="000A316C" w:rsidTr="000A316C">
        <w:trPr>
          <w:trHeight w:val="315"/>
        </w:trPr>
        <w:tc>
          <w:tcPr>
            <w:tcW w:w="7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6C" w:rsidRDefault="000A31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Default="000A3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41 958 613,09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tbl>
      <w:tblPr>
        <w:tblW w:w="8020" w:type="dxa"/>
        <w:tblInd w:w="93" w:type="dxa"/>
        <w:tblLook w:val="04A0"/>
      </w:tblPr>
      <w:tblGrid>
        <w:gridCol w:w="4180"/>
        <w:gridCol w:w="900"/>
        <w:gridCol w:w="1302"/>
        <w:gridCol w:w="1936"/>
      </w:tblGrid>
      <w:tr w:rsidR="000A316C" w:rsidRPr="000A316C" w:rsidTr="000A316C">
        <w:trPr>
          <w:trHeight w:val="27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16C" w:rsidRPr="000A316C" w:rsidRDefault="000A316C" w:rsidP="000A316C">
            <w:pPr>
              <w:rPr>
                <w:rFonts w:ascii="Calibri" w:hAnsi="Calibri" w:cs="Calibri"/>
                <w:sz w:val="22"/>
                <w:szCs w:val="22"/>
              </w:rPr>
            </w:pPr>
            <w:r w:rsidRPr="000A31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16C" w:rsidRPr="000A316C" w:rsidRDefault="000A316C" w:rsidP="000A316C">
            <w:pPr>
              <w:jc w:val="right"/>
              <w:rPr>
                <w:i/>
                <w:iCs/>
                <w:sz w:val="20"/>
                <w:szCs w:val="20"/>
              </w:rPr>
            </w:pPr>
            <w:r w:rsidRPr="000A316C">
              <w:rPr>
                <w:i/>
                <w:iCs/>
                <w:sz w:val="20"/>
                <w:szCs w:val="20"/>
              </w:rPr>
              <w:t xml:space="preserve">Приложение № 3 </w:t>
            </w:r>
            <w:r w:rsidRPr="000A316C">
              <w:rPr>
                <w:i/>
                <w:iCs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Комсомольского сельского поселения Комсомольского района Чувашской Республики за 2022год" от          2023 №___</w:t>
            </w:r>
          </w:p>
        </w:tc>
      </w:tr>
      <w:tr w:rsidR="000A316C" w:rsidRPr="000A316C" w:rsidTr="000A316C">
        <w:trPr>
          <w:trHeight w:val="345"/>
        </w:trPr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16C" w:rsidRPr="000A316C" w:rsidRDefault="000A316C" w:rsidP="000A31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316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16C" w:rsidRPr="000A316C" w:rsidRDefault="000A316C" w:rsidP="000A31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316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A316C" w:rsidRPr="000A316C" w:rsidTr="000A316C">
        <w:trPr>
          <w:trHeight w:val="31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</w:rPr>
            </w:pPr>
            <w:r w:rsidRPr="000A316C">
              <w:rPr>
                <w:b/>
                <w:bCs/>
              </w:rPr>
              <w:t>РАСХОДЫ</w:t>
            </w:r>
          </w:p>
        </w:tc>
      </w:tr>
      <w:tr w:rsidR="000A316C" w:rsidRPr="000A316C" w:rsidTr="000A316C">
        <w:trPr>
          <w:trHeight w:val="990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16C" w:rsidRPr="000A316C" w:rsidRDefault="000A316C" w:rsidP="000A316C">
            <w:pPr>
              <w:jc w:val="center"/>
              <w:rPr>
                <w:b/>
                <w:bCs/>
              </w:rPr>
            </w:pPr>
            <w:r w:rsidRPr="000A316C">
              <w:rPr>
                <w:b/>
                <w:bCs/>
              </w:rPr>
              <w:t xml:space="preserve">бюджета Комсомольского сельского поселения Комсомольского района </w:t>
            </w:r>
            <w:r w:rsidRPr="000A316C">
              <w:rPr>
                <w:b/>
                <w:bCs/>
              </w:rPr>
              <w:br/>
              <w:t xml:space="preserve">Чувашской Республики по разделам и подразделам  классификации расходов бюджетов за 2022 год </w:t>
            </w:r>
          </w:p>
        </w:tc>
      </w:tr>
      <w:tr w:rsidR="000A316C" w:rsidRPr="000A316C" w:rsidTr="000A316C">
        <w:trPr>
          <w:trHeight w:val="255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(рублей)</w:t>
            </w:r>
          </w:p>
        </w:tc>
      </w:tr>
      <w:tr w:rsidR="000A316C" w:rsidRPr="000A316C" w:rsidTr="000A316C">
        <w:trPr>
          <w:trHeight w:val="525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 xml:space="preserve">Наименование 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Подраздел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Исполнено</w:t>
            </w:r>
          </w:p>
        </w:tc>
      </w:tr>
      <w:tr w:rsidR="000A316C" w:rsidRPr="000A316C" w:rsidTr="000A316C">
        <w:trPr>
          <w:trHeight w:val="300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6C" w:rsidRPr="000A316C" w:rsidRDefault="000A316C" w:rsidP="000A316C">
            <w:pPr>
              <w:jc w:val="center"/>
            </w:pPr>
            <w:r w:rsidRPr="000A316C">
              <w:t>4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3 150 179,70</w:t>
            </w:r>
          </w:p>
        </w:tc>
      </w:tr>
      <w:tr w:rsidR="000A316C" w:rsidRPr="000A316C" w:rsidTr="000A316C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2 835 453,70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0,00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314 726,00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5 637 426,32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Общеэкономические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69 533,39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95 840,70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5 260 782,89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211 269,34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28 843 975,23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177 027,93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5 029 666,45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22 924 342,87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712 937,98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4 320 756,84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3 644 121,84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rPr>
                <w:color w:val="000000"/>
              </w:rPr>
            </w:pPr>
            <w:r w:rsidRPr="000A316C">
              <w:rPr>
                <w:color w:val="000000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color w:val="000000"/>
              </w:rPr>
            </w:pPr>
            <w:r w:rsidRPr="000A316C">
              <w:rPr>
                <w:color w:val="000000"/>
              </w:rPr>
              <w:t>676 635,00</w:t>
            </w:r>
          </w:p>
        </w:tc>
      </w:tr>
      <w:tr w:rsidR="000A316C" w:rsidRPr="000A316C" w:rsidTr="000A316C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6 275,00</w:t>
            </w:r>
          </w:p>
        </w:tc>
      </w:tr>
      <w:tr w:rsidR="000A316C" w:rsidRPr="000A316C" w:rsidTr="000A316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16C" w:rsidRPr="000A316C" w:rsidRDefault="000A316C" w:rsidP="000A316C">
            <w:pPr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center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outlineLvl w:val="0"/>
              <w:rPr>
                <w:color w:val="000000"/>
              </w:rPr>
            </w:pPr>
            <w:r w:rsidRPr="000A316C">
              <w:rPr>
                <w:color w:val="000000"/>
              </w:rPr>
              <w:t>6 275,00</w:t>
            </w:r>
          </w:p>
        </w:tc>
      </w:tr>
      <w:tr w:rsidR="000A316C" w:rsidRPr="000A316C" w:rsidTr="000A316C">
        <w:trPr>
          <w:trHeight w:val="315"/>
        </w:trPr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6C" w:rsidRPr="000A316C" w:rsidRDefault="000A316C" w:rsidP="000A316C">
            <w:pPr>
              <w:rPr>
                <w:b/>
                <w:bCs/>
                <w:color w:val="000000"/>
              </w:rPr>
            </w:pPr>
            <w:r w:rsidRPr="000A316C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16C" w:rsidRPr="000A316C" w:rsidRDefault="000A316C" w:rsidP="000A316C">
            <w:pPr>
              <w:jc w:val="right"/>
              <w:rPr>
                <w:b/>
                <w:bCs/>
                <w:color w:val="000000"/>
              </w:rPr>
            </w:pPr>
            <w:r w:rsidRPr="000A316C">
              <w:rPr>
                <w:b/>
                <w:bCs/>
                <w:color w:val="000000"/>
              </w:rPr>
              <w:t>41 958 613,09</w:t>
            </w:r>
          </w:p>
        </w:tc>
      </w:tr>
    </w:tbl>
    <w:p w:rsidR="000A316C" w:rsidRDefault="000A316C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54"/>
        <w:gridCol w:w="4817"/>
      </w:tblGrid>
      <w:tr w:rsidR="000A316C" w:rsidRPr="00DD714A" w:rsidTr="00C5034C">
        <w:tc>
          <w:tcPr>
            <w:tcW w:w="4927" w:type="dxa"/>
          </w:tcPr>
          <w:p w:rsidR="000A316C" w:rsidRPr="00DD714A" w:rsidRDefault="000A316C" w:rsidP="00C5034C">
            <w:pPr>
              <w:jc w:val="right"/>
              <w:rPr>
                <w:i/>
                <w:iCs/>
              </w:rPr>
            </w:pPr>
          </w:p>
        </w:tc>
        <w:tc>
          <w:tcPr>
            <w:tcW w:w="4927" w:type="dxa"/>
          </w:tcPr>
          <w:p w:rsidR="000A316C" w:rsidRPr="00DD714A" w:rsidRDefault="000A316C" w:rsidP="00C5034C">
            <w:pPr>
              <w:jc w:val="right"/>
              <w:rPr>
                <w:i/>
                <w:iCs/>
              </w:rPr>
            </w:pPr>
            <w:r w:rsidRPr="00DD714A">
              <w:rPr>
                <w:i/>
                <w:iCs/>
              </w:rPr>
              <w:t>Приложение № 4</w:t>
            </w:r>
          </w:p>
          <w:p w:rsidR="000A316C" w:rsidRPr="00DD714A" w:rsidRDefault="000A316C" w:rsidP="00C5034C">
            <w:pPr>
              <w:jc w:val="right"/>
              <w:rPr>
                <w:i/>
                <w:iCs/>
              </w:rPr>
            </w:pPr>
            <w:r w:rsidRPr="00FE7FB1">
              <w:rPr>
                <w:i/>
                <w:iCs/>
              </w:rPr>
              <w:t>к решению Собрания депутатов Комсомол</w:t>
            </w:r>
            <w:r w:rsidRPr="00FE7FB1">
              <w:rPr>
                <w:i/>
                <w:iCs/>
              </w:rPr>
              <w:t>ь</w:t>
            </w:r>
            <w:r w:rsidRPr="00FE7FB1">
              <w:rPr>
                <w:i/>
                <w:iCs/>
              </w:rPr>
              <w:t xml:space="preserve">ского муниципального округа Чувашской Республики </w:t>
            </w:r>
            <w:r w:rsidRPr="00DD714A">
              <w:rPr>
                <w:i/>
                <w:iCs/>
              </w:rPr>
              <w:t>"Об утверждении отчета об и</w:t>
            </w:r>
            <w:r w:rsidRPr="00DD714A">
              <w:rPr>
                <w:i/>
                <w:iCs/>
              </w:rPr>
              <w:t>с</w:t>
            </w:r>
            <w:r w:rsidRPr="00DD714A">
              <w:rPr>
                <w:i/>
                <w:iCs/>
              </w:rPr>
              <w:t>полнении бюджета Комсомольского сельск</w:t>
            </w:r>
            <w:r w:rsidRPr="00DD714A">
              <w:rPr>
                <w:i/>
                <w:iCs/>
              </w:rPr>
              <w:t>о</w:t>
            </w:r>
            <w:r w:rsidRPr="00DD714A">
              <w:rPr>
                <w:i/>
                <w:iCs/>
              </w:rPr>
              <w:t>го поселения Комсомольского района Чува</w:t>
            </w:r>
            <w:r w:rsidRPr="00DD714A">
              <w:rPr>
                <w:i/>
                <w:iCs/>
              </w:rPr>
              <w:t>ш</w:t>
            </w:r>
            <w:r w:rsidRPr="00DD714A">
              <w:rPr>
                <w:i/>
                <w:iCs/>
              </w:rPr>
              <w:t>ской Республики за 20</w:t>
            </w:r>
            <w:r>
              <w:rPr>
                <w:i/>
                <w:iCs/>
              </w:rPr>
              <w:t>22</w:t>
            </w:r>
            <w:r w:rsidRPr="00DD714A">
              <w:rPr>
                <w:i/>
                <w:iCs/>
              </w:rPr>
              <w:t xml:space="preserve"> год" от ___________ №___</w:t>
            </w:r>
          </w:p>
        </w:tc>
      </w:tr>
    </w:tbl>
    <w:p w:rsidR="000A316C" w:rsidRPr="00360A85" w:rsidRDefault="000A316C" w:rsidP="000A316C">
      <w:pPr>
        <w:jc w:val="right"/>
        <w:rPr>
          <w:i/>
          <w:iCs/>
        </w:rPr>
      </w:pPr>
    </w:p>
    <w:p w:rsidR="000A316C" w:rsidRPr="00360A85" w:rsidRDefault="000A316C" w:rsidP="000A316C">
      <w:pPr>
        <w:jc w:val="right"/>
      </w:pPr>
    </w:p>
    <w:p w:rsidR="000A316C" w:rsidRPr="00360A85" w:rsidRDefault="000A316C" w:rsidP="000A316C">
      <w:pPr>
        <w:jc w:val="center"/>
        <w:rPr>
          <w:b/>
        </w:rPr>
      </w:pPr>
      <w:r w:rsidRPr="00360A85">
        <w:rPr>
          <w:b/>
        </w:rPr>
        <w:t xml:space="preserve">Источники финансирования дефицита бюджета </w:t>
      </w:r>
    </w:p>
    <w:p w:rsidR="000A316C" w:rsidRPr="00360A85" w:rsidRDefault="000A316C" w:rsidP="000A316C">
      <w:pPr>
        <w:jc w:val="center"/>
        <w:rPr>
          <w:b/>
        </w:rPr>
      </w:pPr>
      <w:r w:rsidRPr="00360A85">
        <w:rPr>
          <w:b/>
        </w:rPr>
        <w:t xml:space="preserve">Комсомольского сельского поселения </w:t>
      </w:r>
    </w:p>
    <w:p w:rsidR="000A316C" w:rsidRPr="00360A85" w:rsidRDefault="000A316C" w:rsidP="000A316C">
      <w:pPr>
        <w:jc w:val="center"/>
        <w:rPr>
          <w:b/>
        </w:rPr>
      </w:pPr>
      <w:r w:rsidRPr="00360A85">
        <w:rPr>
          <w:b/>
        </w:rPr>
        <w:t>Комсомольского района Чувашской Республики</w:t>
      </w:r>
    </w:p>
    <w:p w:rsidR="000A316C" w:rsidRPr="00360A85" w:rsidRDefault="000A316C" w:rsidP="000A316C">
      <w:pPr>
        <w:jc w:val="center"/>
        <w:rPr>
          <w:b/>
        </w:rPr>
      </w:pPr>
      <w:r w:rsidRPr="00360A85">
        <w:rPr>
          <w:b/>
        </w:rPr>
        <w:t xml:space="preserve">по кодам классификации источников финансирования </w:t>
      </w:r>
    </w:p>
    <w:p w:rsidR="000A316C" w:rsidRPr="00360A85" w:rsidRDefault="000A316C" w:rsidP="000A316C">
      <w:pPr>
        <w:jc w:val="center"/>
        <w:rPr>
          <w:b/>
        </w:rPr>
      </w:pPr>
      <w:r w:rsidRPr="00360A85">
        <w:rPr>
          <w:b/>
        </w:rPr>
        <w:t>дефицитов бюджетов за 20</w:t>
      </w:r>
      <w:r>
        <w:rPr>
          <w:b/>
        </w:rPr>
        <w:t>22</w:t>
      </w:r>
      <w:r w:rsidRPr="00360A85">
        <w:rPr>
          <w:b/>
        </w:rPr>
        <w:t xml:space="preserve"> год</w:t>
      </w:r>
    </w:p>
    <w:p w:rsidR="000A316C" w:rsidRPr="00360A85" w:rsidRDefault="000A316C" w:rsidP="000A316C">
      <w:pPr>
        <w:jc w:val="center"/>
        <w:rPr>
          <w:b/>
        </w:rPr>
      </w:pPr>
    </w:p>
    <w:p w:rsidR="000A316C" w:rsidRPr="00360A85" w:rsidRDefault="000A316C" w:rsidP="000A316C">
      <w:pPr>
        <w:jc w:val="right"/>
      </w:pPr>
      <w:r w:rsidRPr="00360A85">
        <w:t>(рублей)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02"/>
        <w:gridCol w:w="1285"/>
        <w:gridCol w:w="2693"/>
        <w:gridCol w:w="1701"/>
      </w:tblGrid>
      <w:tr w:rsidR="000A316C" w:rsidRPr="00360A85" w:rsidTr="00C5034C">
        <w:trPr>
          <w:trHeight w:val="475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6C" w:rsidRPr="00360A85" w:rsidRDefault="000A316C" w:rsidP="00C5034C">
            <w:pPr>
              <w:jc w:val="center"/>
            </w:pPr>
            <w:r w:rsidRPr="00360A85">
              <w:t>Наименование показателя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6C" w:rsidRPr="00360A85" w:rsidRDefault="000A316C" w:rsidP="00C5034C">
            <w:pPr>
              <w:jc w:val="center"/>
            </w:pPr>
            <w:r w:rsidRPr="00360A85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6C" w:rsidRPr="00360A85" w:rsidRDefault="000A316C" w:rsidP="00C5034C">
            <w:pPr>
              <w:jc w:val="center"/>
            </w:pPr>
            <w:r w:rsidRPr="00360A85">
              <w:t>Исполнено</w:t>
            </w:r>
          </w:p>
        </w:tc>
      </w:tr>
      <w:tr w:rsidR="000A316C" w:rsidRPr="00360A85" w:rsidTr="00C5034C"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6C" w:rsidRPr="00360A85" w:rsidRDefault="000A316C" w:rsidP="00C5034C">
            <w:pPr>
              <w:jc w:val="center"/>
            </w:pPr>
            <w:r w:rsidRPr="00360A85">
              <w:t>админ</w:t>
            </w:r>
            <w:r w:rsidRPr="00360A85">
              <w:t>и</w:t>
            </w:r>
            <w:r w:rsidRPr="00360A85">
              <w:t>стратора источника финанс</w:t>
            </w:r>
            <w:r w:rsidRPr="00360A85">
              <w:t>и</w:t>
            </w:r>
            <w:r w:rsidRPr="00360A85">
              <w:t>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6C" w:rsidRDefault="000A316C" w:rsidP="00C5034C">
            <w:pPr>
              <w:jc w:val="center"/>
            </w:pPr>
            <w:r>
              <w:t>источника</w:t>
            </w:r>
          </w:p>
          <w:p w:rsidR="000A316C" w:rsidRPr="00360A85" w:rsidRDefault="000A316C" w:rsidP="00C5034C">
            <w:pPr>
              <w:jc w:val="center"/>
            </w:pPr>
            <w:r w:rsidRPr="00360A85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  <w:r w:rsidRPr="00360A85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  <w:r w:rsidRPr="00360A8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  <w:r w:rsidRPr="00360A8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  <w:r w:rsidRPr="00360A85">
              <w:t>4</w:t>
            </w: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  <w:rPr>
                <w:b/>
              </w:rPr>
            </w:pPr>
            <w:r w:rsidRPr="00360A85">
              <w:rPr>
                <w:b/>
              </w:rPr>
              <w:t>Источники финансирования деф</w:t>
            </w:r>
            <w:r w:rsidRPr="00360A85">
              <w:rPr>
                <w:b/>
              </w:rPr>
              <w:t>и</w:t>
            </w:r>
            <w:r w:rsidRPr="00360A85">
              <w:rPr>
                <w:b/>
              </w:rPr>
              <w:t>цита бюджета Комсомольского сельского поселения Комсомол</w:t>
            </w:r>
            <w:r w:rsidRPr="00360A85">
              <w:rPr>
                <w:b/>
              </w:rPr>
              <w:t>ь</w:t>
            </w:r>
            <w:r w:rsidRPr="00360A85">
              <w:rPr>
                <w:b/>
              </w:rPr>
              <w:t>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E7FB1" w:rsidRDefault="000A316C" w:rsidP="00C5034C">
            <w:pPr>
              <w:jc w:val="center"/>
              <w:rPr>
                <w:b/>
              </w:rPr>
            </w:pPr>
            <w:r>
              <w:rPr>
                <w:b/>
              </w:rPr>
              <w:t>3 948 648,90</w:t>
            </w: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  <w:rPr>
                <w:b/>
              </w:rPr>
            </w:pPr>
            <w:r w:rsidRPr="00360A85">
              <w:lastRenderedPageBreak/>
              <w:t xml:space="preserve">           в том числе</w:t>
            </w:r>
            <w:r w:rsidRPr="00360A85">
              <w:rPr>
                <w:b/>
              </w:rPr>
              <w:t>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  <w:rPr>
                <w:b/>
              </w:rPr>
            </w:pP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  <w:rPr>
                <w:b/>
              </w:rPr>
            </w:pPr>
            <w:r w:rsidRPr="00360A85">
              <w:rPr>
                <w:b/>
              </w:rPr>
              <w:t>Источники внутреннего финанс</w:t>
            </w:r>
            <w:r w:rsidRPr="00360A85">
              <w:rPr>
                <w:b/>
              </w:rPr>
              <w:t>и</w:t>
            </w:r>
            <w:r w:rsidRPr="00360A85">
              <w:rPr>
                <w:b/>
              </w:rPr>
              <w:t>рования дефицита бюджета Ко</w:t>
            </w:r>
            <w:r w:rsidRPr="00360A85">
              <w:rPr>
                <w:b/>
              </w:rPr>
              <w:t>м</w:t>
            </w:r>
            <w:r w:rsidRPr="00360A85">
              <w:rPr>
                <w:b/>
              </w:rPr>
              <w:t>сомольского сельского поселения Комсомольского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E40AA" w:rsidRDefault="000A316C" w:rsidP="00C503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3 948 648,90</w:t>
            </w: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  <w:rPr>
                <w:b/>
              </w:rPr>
            </w:pPr>
            <w:r w:rsidRPr="00360A85">
              <w:rPr>
                <w:b/>
              </w:rPr>
              <w:t xml:space="preserve">           </w:t>
            </w:r>
            <w:r w:rsidRPr="00360A85"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center"/>
            </w:pP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  <w:rPr>
                <w:b/>
              </w:rPr>
            </w:pPr>
            <w:r w:rsidRPr="00360A85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  <w:rPr>
                <w:b/>
              </w:rPr>
            </w:pPr>
            <w:r w:rsidRPr="00360A85">
              <w:rPr>
                <w:b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  <w:rPr>
                <w:b/>
              </w:rPr>
            </w:pPr>
            <w:r w:rsidRPr="00360A85">
              <w:rPr>
                <w:b/>
              </w:rPr>
              <w:t>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E40AA" w:rsidRDefault="000A316C" w:rsidP="00C503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3 948 648,90</w:t>
            </w: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</w:pPr>
            <w:r w:rsidRPr="00360A85">
              <w:t>Увеличение прочих остатков дене</w:t>
            </w:r>
            <w:r w:rsidRPr="00360A85">
              <w:t>ж</w:t>
            </w:r>
            <w:r w:rsidRPr="00360A85">
              <w:t>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  <w:r w:rsidRPr="00360A85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right="-108"/>
              <w:jc w:val="center"/>
            </w:pPr>
            <w:r w:rsidRPr="00360A85">
              <w:t>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E7FB1" w:rsidRDefault="000A316C" w:rsidP="00C5034C">
            <w:pPr>
              <w:jc w:val="center"/>
            </w:pPr>
            <w:r w:rsidRPr="00D5654A">
              <w:rPr>
                <w:b/>
                <w:lang w:val="en-US"/>
              </w:rPr>
              <w:t>-</w:t>
            </w:r>
            <w:r>
              <w:rPr>
                <w:b/>
              </w:rPr>
              <w:t>38 009 964,19</w:t>
            </w:r>
          </w:p>
        </w:tc>
      </w:tr>
      <w:tr w:rsidR="000A316C" w:rsidRPr="00360A85" w:rsidTr="00C5034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jc w:val="both"/>
            </w:pPr>
            <w:r w:rsidRPr="00360A85">
              <w:t>Уменьшение прочих остатков д</w:t>
            </w:r>
            <w:r w:rsidRPr="00360A85">
              <w:t>е</w:t>
            </w:r>
            <w:r w:rsidRPr="00360A85">
              <w:t>нежных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left="-108" w:right="-108" w:firstLine="108"/>
              <w:jc w:val="center"/>
            </w:pPr>
            <w:r w:rsidRPr="00360A85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360A85" w:rsidRDefault="000A316C" w:rsidP="00C5034C">
            <w:pPr>
              <w:ind w:left="-108" w:right="-108" w:firstLine="108"/>
              <w:jc w:val="center"/>
            </w:pPr>
            <w:r w:rsidRPr="00360A85">
              <w:t>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E7FB1" w:rsidRDefault="000A316C" w:rsidP="00C5034C">
            <w:pPr>
              <w:jc w:val="center"/>
            </w:pPr>
            <w:r w:rsidRPr="00D5654A">
              <w:rPr>
                <w:b/>
                <w:lang w:val="en-US"/>
              </w:rPr>
              <w:t>4</w:t>
            </w:r>
            <w:r>
              <w:rPr>
                <w:b/>
              </w:rPr>
              <w:t>1 958 613,09</w:t>
            </w:r>
          </w:p>
        </w:tc>
      </w:tr>
    </w:tbl>
    <w:p w:rsidR="000A316C" w:rsidRPr="00360A85" w:rsidRDefault="000A316C" w:rsidP="000A316C">
      <w:pPr>
        <w:jc w:val="both"/>
      </w:pPr>
    </w:p>
    <w:p w:rsidR="000A316C" w:rsidRPr="00360A85" w:rsidRDefault="000A316C" w:rsidP="000A316C"/>
    <w:p w:rsidR="000A316C" w:rsidRPr="00360A85" w:rsidRDefault="000A316C" w:rsidP="000A316C"/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Default="000A316C" w:rsidP="00A962B3">
      <w:pPr>
        <w:jc w:val="both"/>
        <w:rPr>
          <w:sz w:val="26"/>
          <w:szCs w:val="26"/>
        </w:rPr>
        <w:sectPr w:rsidR="000A316C" w:rsidSect="00177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316C" w:rsidRDefault="000A316C" w:rsidP="00A962B3">
      <w:pPr>
        <w:jc w:val="both"/>
        <w:rPr>
          <w:sz w:val="26"/>
          <w:szCs w:val="26"/>
        </w:rPr>
      </w:pPr>
    </w:p>
    <w:p w:rsidR="000A316C" w:rsidRPr="00F611B8" w:rsidRDefault="000A316C" w:rsidP="000A316C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0A316C" w:rsidRPr="00F611B8" w:rsidRDefault="000A316C" w:rsidP="000A316C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0A316C" w:rsidRPr="00F611B8" w:rsidRDefault="000A316C" w:rsidP="000A316C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Комсомольского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0A316C" w:rsidRPr="00F611B8" w:rsidRDefault="000A316C" w:rsidP="000A316C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0A316C" w:rsidRPr="00F611B8" w:rsidRDefault="000A316C" w:rsidP="000A316C">
      <w:pPr>
        <w:rPr>
          <w:sz w:val="22"/>
          <w:szCs w:val="22"/>
        </w:rPr>
      </w:pPr>
    </w:p>
    <w:p w:rsidR="000A316C" w:rsidRPr="00E95706" w:rsidRDefault="000A316C" w:rsidP="000A316C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0A316C" w:rsidRPr="00F91F98" w:rsidTr="00C5034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0A316C" w:rsidRPr="00F91F98" w:rsidTr="00C5034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0A316C" w:rsidRPr="00F91F98" w:rsidTr="00C5034C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6C" w:rsidRPr="00FC325E" w:rsidRDefault="000A316C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C325E">
              <w:rPr>
                <w:sz w:val="22"/>
                <w:szCs w:val="22"/>
              </w:rPr>
              <w:t>30 000,00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6C" w:rsidRPr="00F91F98" w:rsidRDefault="000A316C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316C" w:rsidRPr="00E95706" w:rsidRDefault="000A316C" w:rsidP="000A316C">
      <w:pPr>
        <w:rPr>
          <w:sz w:val="22"/>
          <w:szCs w:val="22"/>
        </w:rPr>
      </w:pPr>
    </w:p>
    <w:p w:rsidR="000A316C" w:rsidRPr="00E95706" w:rsidRDefault="000A316C" w:rsidP="000A316C">
      <w:pPr>
        <w:rPr>
          <w:sz w:val="22"/>
          <w:szCs w:val="22"/>
        </w:rPr>
      </w:pPr>
    </w:p>
    <w:p w:rsidR="000A316C" w:rsidRPr="00E95706" w:rsidRDefault="000A316C" w:rsidP="000A316C">
      <w:pPr>
        <w:rPr>
          <w:sz w:val="22"/>
          <w:szCs w:val="22"/>
        </w:rPr>
      </w:pPr>
    </w:p>
    <w:p w:rsidR="000A316C" w:rsidRPr="00E95706" w:rsidRDefault="000A316C" w:rsidP="000A316C">
      <w:pPr>
        <w:rPr>
          <w:sz w:val="22"/>
          <w:szCs w:val="22"/>
        </w:rPr>
      </w:pPr>
    </w:p>
    <w:p w:rsidR="000A316C" w:rsidRDefault="000A316C" w:rsidP="000A316C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0A316C" w:rsidRPr="00E95706" w:rsidRDefault="000A316C" w:rsidP="000A316C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0A316C" w:rsidRPr="00FC325E" w:rsidRDefault="000A316C" w:rsidP="000A316C">
      <w:pPr>
        <w:rPr>
          <w:sz w:val="22"/>
          <w:szCs w:val="22"/>
        </w:rPr>
      </w:pPr>
    </w:p>
    <w:p w:rsidR="000A316C" w:rsidRDefault="000A316C" w:rsidP="00A962B3">
      <w:pPr>
        <w:jc w:val="both"/>
        <w:rPr>
          <w:sz w:val="26"/>
          <w:szCs w:val="26"/>
        </w:rPr>
      </w:pPr>
    </w:p>
    <w:sectPr w:rsidR="000A316C" w:rsidSect="000A31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920ED"/>
    <w:rsid w:val="000A316C"/>
    <w:rsid w:val="000B4AE1"/>
    <w:rsid w:val="000E6FCC"/>
    <w:rsid w:val="000F3295"/>
    <w:rsid w:val="00102881"/>
    <w:rsid w:val="001072BA"/>
    <w:rsid w:val="00114E35"/>
    <w:rsid w:val="0011797F"/>
    <w:rsid w:val="0015681E"/>
    <w:rsid w:val="00167789"/>
    <w:rsid w:val="00177E0B"/>
    <w:rsid w:val="00177EEE"/>
    <w:rsid w:val="00190C92"/>
    <w:rsid w:val="00192AAA"/>
    <w:rsid w:val="00194737"/>
    <w:rsid w:val="001A5565"/>
    <w:rsid w:val="001D1AB4"/>
    <w:rsid w:val="001D341B"/>
    <w:rsid w:val="001E7A2E"/>
    <w:rsid w:val="0021001F"/>
    <w:rsid w:val="0023012B"/>
    <w:rsid w:val="00255035"/>
    <w:rsid w:val="00270BBB"/>
    <w:rsid w:val="0028376A"/>
    <w:rsid w:val="0028609A"/>
    <w:rsid w:val="002B13E0"/>
    <w:rsid w:val="002B296F"/>
    <w:rsid w:val="002E5E85"/>
    <w:rsid w:val="00300A55"/>
    <w:rsid w:val="00321CB1"/>
    <w:rsid w:val="00334877"/>
    <w:rsid w:val="0038595E"/>
    <w:rsid w:val="003A63FA"/>
    <w:rsid w:val="003A6923"/>
    <w:rsid w:val="003E215C"/>
    <w:rsid w:val="003E6D1F"/>
    <w:rsid w:val="00411B57"/>
    <w:rsid w:val="004347B9"/>
    <w:rsid w:val="00440A5F"/>
    <w:rsid w:val="00457300"/>
    <w:rsid w:val="00457A0F"/>
    <w:rsid w:val="0046279C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73463"/>
    <w:rsid w:val="00782268"/>
    <w:rsid w:val="0078472D"/>
    <w:rsid w:val="00793848"/>
    <w:rsid w:val="007948E7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8B08DB"/>
    <w:rsid w:val="009002AA"/>
    <w:rsid w:val="009370FE"/>
    <w:rsid w:val="00941D4B"/>
    <w:rsid w:val="00942BB0"/>
    <w:rsid w:val="009502DD"/>
    <w:rsid w:val="00970213"/>
    <w:rsid w:val="00995FA8"/>
    <w:rsid w:val="009A1C66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C6199"/>
    <w:rsid w:val="00AD32E9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A0C9A"/>
    <w:rsid w:val="00BA0D89"/>
    <w:rsid w:val="00BA3AB1"/>
    <w:rsid w:val="00BC79B6"/>
    <w:rsid w:val="00BD3377"/>
    <w:rsid w:val="00BD798F"/>
    <w:rsid w:val="00C2214C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02A7"/>
    <w:rsid w:val="00DB3472"/>
    <w:rsid w:val="00DC18CA"/>
    <w:rsid w:val="00DC38FC"/>
    <w:rsid w:val="00DF4096"/>
    <w:rsid w:val="00E14335"/>
    <w:rsid w:val="00E22F25"/>
    <w:rsid w:val="00E24466"/>
    <w:rsid w:val="00E73A2B"/>
    <w:rsid w:val="00E762D0"/>
    <w:rsid w:val="00E80A86"/>
    <w:rsid w:val="00E85250"/>
    <w:rsid w:val="00E94091"/>
    <w:rsid w:val="00EB6F14"/>
    <w:rsid w:val="00F06A84"/>
    <w:rsid w:val="00F421E5"/>
    <w:rsid w:val="00F6453A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0A316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0A316C"/>
    <w:rPr>
      <w:color w:val="800080"/>
      <w:u w:val="single"/>
    </w:rPr>
  </w:style>
  <w:style w:type="paragraph" w:customStyle="1" w:styleId="xl94">
    <w:name w:val="xl94"/>
    <w:basedOn w:val="a"/>
    <w:rsid w:val="000A316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0A316C"/>
    <w:pPr>
      <w:spacing w:before="100" w:beforeAutospacing="1" w:after="100" w:afterAutospacing="1"/>
    </w:pPr>
  </w:style>
  <w:style w:type="paragraph" w:customStyle="1" w:styleId="xl96">
    <w:name w:val="xl96"/>
    <w:basedOn w:val="a"/>
    <w:rsid w:val="000A316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0A3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A3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0A3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0A3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0A3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0A3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A316C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4">
    <w:name w:val="xl104"/>
    <w:basedOn w:val="a"/>
    <w:rsid w:val="000A316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0A31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0A31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0A316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8">
    <w:name w:val="xl108"/>
    <w:basedOn w:val="a"/>
    <w:rsid w:val="000A31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A31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A3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0A31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A31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0A316C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0A316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0A3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7202</Words>
  <Characters>41053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48159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2023-04-20T13:34:00Z</cp:lastPrinted>
  <dcterms:created xsi:type="dcterms:W3CDTF">2023-04-25T09:52:00Z</dcterms:created>
  <dcterms:modified xsi:type="dcterms:W3CDTF">2023-04-25T09:52:00Z</dcterms:modified>
</cp:coreProperties>
</file>