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2E7E54" w:rsidRPr="00325D17" w:rsidRDefault="00F92E08" w:rsidP="002E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___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8184C" w:rsidRPr="00325D17" w:rsidRDefault="00F92E08" w:rsidP="003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публичных слушаний 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земельного участка </w:t>
      </w:r>
    </w:p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2E08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 соответствии 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="00F92E08" w:rsidRPr="00B82B03">
        <w:rPr>
          <w:rFonts w:ascii="Times New Roman" w:eastAsiaTheme="minorHAnsi" w:hAnsi="Times New Roman"/>
          <w:color w:val="000000"/>
          <w:sz w:val="24"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>, статьями 5.1 и 39 Градостроительного кодекса Российской Федерации,</w:t>
      </w:r>
      <w:r w:rsidR="00E5514A" w:rsidRPr="00E5514A">
        <w:rPr>
          <w:color w:val="22272F"/>
          <w:sz w:val="32"/>
          <w:szCs w:val="32"/>
          <w:shd w:val="clear" w:color="auto" w:fill="FFFFFF"/>
        </w:rPr>
        <w:t xml:space="preserve"> 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>риказ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ом</w:t>
      </w:r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 Федеральной службы государственной регистрации, кадастра и картографии от 10 ноября 2020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 г. № </w:t>
      </w:r>
      <w:proofErr w:type="gramStart"/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>П</w:t>
      </w:r>
      <w:proofErr w:type="gramEnd"/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>/0412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 «</w:t>
      </w:r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Об утверждении классификатора видов разрешенного использования земельных </w:t>
      </w:r>
      <w:proofErr w:type="gramStart"/>
      <w:r w:rsidR="00E5514A" w:rsidRPr="00E5514A">
        <w:rPr>
          <w:rFonts w:ascii="Times New Roman" w:eastAsiaTheme="minorHAnsi" w:hAnsi="Times New Roman"/>
          <w:color w:val="000000"/>
          <w:sz w:val="24"/>
          <w:szCs w:val="24"/>
        </w:rPr>
        <w:t>участков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»,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р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ешение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Собрания депутатов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муниципального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округа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Чувашской Республики от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28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марта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2022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г. №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9/3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«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Об 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утверждении Положения о порядке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организации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проведения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общественных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обсуждений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или публичных слушаний по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вопросам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градостроительной деятельности на территории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муниципального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округа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 w:rsidRPr="00F92E08">
        <w:rPr>
          <w:rFonts w:ascii="Times New Roman" w:eastAsiaTheme="minorHAnsi" w:hAnsi="Times New Roman"/>
          <w:color w:val="000000"/>
          <w:sz w:val="24"/>
          <w:szCs w:val="24"/>
        </w:rPr>
        <w:t>Чувашской Республики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>»,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D554F6" w:rsidRPr="00F92E08">
        <w:rPr>
          <w:rFonts w:ascii="Times New Roman" w:eastAsiaTheme="minorHAnsi" w:hAnsi="Times New Roman"/>
          <w:color w:val="000000"/>
          <w:sz w:val="24"/>
          <w:szCs w:val="24"/>
        </w:rPr>
        <w:t>ешение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D554F6" w:rsidRP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Собрания депутатов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554F6" w:rsidRPr="00F92E08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554F6" w:rsidRPr="00F92E08">
        <w:rPr>
          <w:rFonts w:ascii="Times New Roman" w:eastAsiaTheme="minorHAnsi" w:hAnsi="Times New Roman"/>
          <w:color w:val="000000"/>
          <w:sz w:val="24"/>
          <w:szCs w:val="24"/>
        </w:rPr>
        <w:t>муниципального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554F6" w:rsidRPr="00F92E08">
        <w:rPr>
          <w:rFonts w:ascii="Times New Roman" w:eastAsiaTheme="minorHAnsi" w:hAnsi="Times New Roman"/>
          <w:color w:val="000000"/>
          <w:sz w:val="24"/>
          <w:szCs w:val="24"/>
        </w:rPr>
        <w:t>округа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 xml:space="preserve"> Чувашской Республики от 08 декабря 2023 г. № 32/3 «Об утверждении Правил землепользования и</w:t>
      </w:r>
      <w:proofErr w:type="gramEnd"/>
      <w:r w:rsidR="00D554F6">
        <w:rPr>
          <w:rFonts w:ascii="Times New Roman" w:eastAsiaTheme="minorHAnsi" w:hAnsi="Times New Roman"/>
          <w:color w:val="000000"/>
          <w:sz w:val="24"/>
          <w:szCs w:val="24"/>
        </w:rPr>
        <w:t xml:space="preserve"> застройки Шумерлинского муниципального округа Чувашской Республики», 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постан</w:t>
      </w:r>
      <w:r w:rsidR="008D044B">
        <w:rPr>
          <w:rFonts w:ascii="Times New Roman" w:eastAsiaTheme="minorHAnsi" w:hAnsi="Times New Roman"/>
          <w:color w:val="000000"/>
          <w:sz w:val="24"/>
          <w:szCs w:val="24"/>
        </w:rPr>
        <w:t>овлением администрации Шумерлинс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кого муниципального округа от 21 июня 2022</w:t>
      </w:r>
      <w:r w:rsidR="008D044B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bookmarkStart w:id="0" w:name="_GoBack"/>
      <w:bookmarkEnd w:id="0"/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 № 481 «Об утверждении административного ре</w:t>
      </w:r>
      <w:r w:rsidR="00D554F6">
        <w:rPr>
          <w:rFonts w:ascii="Times New Roman" w:eastAsiaTheme="minorHAnsi" w:hAnsi="Times New Roman"/>
          <w:color w:val="000000"/>
          <w:sz w:val="24"/>
          <w:szCs w:val="24"/>
        </w:rPr>
        <w:t>гламента администрации Шумерлинс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>кого муниципального округа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 xml:space="preserve"> Уставом Шумерлинского муниципального округа Чувашской Республики,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A12240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дминистрация Шумерлинского муниципального округа </w:t>
      </w:r>
      <w:proofErr w:type="gramStart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е т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07E" w:rsidRDefault="00B82B03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Вынести на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публичные слушания 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 </w:t>
      </w:r>
      <w:r w:rsidR="00E07F16">
        <w:rPr>
          <w:rFonts w:ascii="Times New Roman" w:eastAsiaTheme="minorHAnsi" w:hAnsi="Times New Roman"/>
          <w:color w:val="000000"/>
          <w:sz w:val="24"/>
          <w:szCs w:val="24"/>
        </w:rPr>
        <w:t>решения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>о предоставлении разрешения на условно разрешенный вид использования</w:t>
      </w:r>
      <w:r w:rsidR="003E007E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92E08">
        <w:rPr>
          <w:rFonts w:ascii="Times New Roman" w:eastAsiaTheme="minorHAnsi" w:hAnsi="Times New Roman"/>
          <w:color w:val="000000"/>
          <w:sz w:val="24"/>
          <w:szCs w:val="24"/>
        </w:rPr>
        <w:t>земельного участка</w:t>
      </w:r>
      <w:r w:rsidR="00E0217C">
        <w:rPr>
          <w:rFonts w:ascii="Times New Roman" w:eastAsiaTheme="minorHAnsi" w:hAnsi="Times New Roman"/>
          <w:color w:val="000000"/>
          <w:sz w:val="24"/>
          <w:szCs w:val="24"/>
        </w:rPr>
        <w:t xml:space="preserve"> находящегося в территориальной зоне СХ-2 (производственная зона сельскохозяйственных предприятий), категория земель – земли сельскохозяйственного назначения, с кадастровым номером 21:23:100101:964, площадью 873 </w:t>
      </w:r>
      <w:proofErr w:type="spellStart"/>
      <w:r w:rsidR="00E0217C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gramStart"/>
      <w:r w:rsidR="00E0217C">
        <w:rPr>
          <w:rFonts w:ascii="Times New Roman" w:eastAsiaTheme="minorHAnsi" w:hAnsi="Times New Roman"/>
          <w:color w:val="000000"/>
          <w:sz w:val="24"/>
          <w:szCs w:val="24"/>
        </w:rPr>
        <w:t>.м</w:t>
      </w:r>
      <w:proofErr w:type="spellEnd"/>
      <w:proofErr w:type="gramEnd"/>
      <w:r w:rsidR="00E0217C">
        <w:rPr>
          <w:rFonts w:ascii="Times New Roman" w:eastAsiaTheme="minorHAnsi" w:hAnsi="Times New Roman"/>
          <w:color w:val="000000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0217C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E0217C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округ, сельское поселение </w:t>
      </w:r>
      <w:proofErr w:type="spellStart"/>
      <w:r w:rsidR="00E0217C">
        <w:rPr>
          <w:rFonts w:ascii="Times New Roman" w:eastAsiaTheme="minorHAnsi" w:hAnsi="Times New Roman"/>
          <w:color w:val="000000"/>
          <w:sz w:val="24"/>
          <w:szCs w:val="24"/>
        </w:rPr>
        <w:t>Туванское</w:t>
      </w:r>
      <w:proofErr w:type="spellEnd"/>
      <w:r w:rsidR="00E0217C">
        <w:rPr>
          <w:rFonts w:ascii="Times New Roman" w:eastAsiaTheme="minorHAnsi" w:hAnsi="Times New Roman"/>
          <w:color w:val="000000"/>
          <w:sz w:val="24"/>
          <w:szCs w:val="24"/>
        </w:rPr>
        <w:t xml:space="preserve">, в целях изменения вида 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разрешенного использования 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земельного участка </w:t>
      </w:r>
      <w:proofErr w:type="gram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с</w:t>
      </w:r>
      <w:proofErr w:type="gramEnd"/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 «</w:t>
      </w:r>
      <w:proofErr w:type="gramStart"/>
      <w:r w:rsidR="00A01E74" w:rsidRPr="006F722B">
        <w:rPr>
          <w:sz w:val="24"/>
          <w:szCs w:val="24"/>
        </w:rPr>
        <w:t>для</w:t>
      </w:r>
      <w:proofErr w:type="gramEnd"/>
      <w:r w:rsidR="00A01E74" w:rsidRPr="006F722B">
        <w:rPr>
          <w:sz w:val="24"/>
          <w:szCs w:val="24"/>
        </w:rPr>
        <w:t xml:space="preserve">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 w:rsidR="00E5514A">
        <w:rPr>
          <w:rFonts w:ascii="Times New Roman" w:eastAsiaTheme="minorHAnsi" w:hAnsi="Times New Roman"/>
          <w:color w:val="000000"/>
          <w:sz w:val="24"/>
          <w:szCs w:val="24"/>
        </w:rPr>
        <w:t xml:space="preserve">на «6.9. – склады», 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(далее - Проект).</w:t>
      </w:r>
    </w:p>
    <w:p w:rsidR="00B84B7F" w:rsidRDefault="00B84B7F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Назначить проведение публичных слушаний по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Проекту 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в зале заседаний администрации Шумерлинского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 Чувашской Республики по адресу: </w:t>
      </w:r>
      <w:proofErr w:type="gramStart"/>
      <w:r w:rsidRPr="00B84B7F">
        <w:rPr>
          <w:rFonts w:ascii="Times New Roman" w:eastAsiaTheme="minorHAnsi" w:hAnsi="Times New Roman"/>
          <w:color w:val="000000"/>
          <w:sz w:val="24"/>
          <w:szCs w:val="24"/>
        </w:rPr>
        <w:t>Чувашская Республика, г. Шумерля, ул. Октябрьская, д.24, на «</w:t>
      </w:r>
      <w:r w:rsidR="000C25DA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 w:rsidR="000C25DA">
        <w:rPr>
          <w:rFonts w:ascii="Times New Roman" w:eastAsiaTheme="minorHAnsi" w:hAnsi="Times New Roman"/>
          <w:color w:val="000000"/>
          <w:sz w:val="24"/>
          <w:szCs w:val="24"/>
        </w:rPr>
        <w:t>ма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202</w:t>
      </w:r>
      <w:r w:rsidR="000C25DA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года в 1</w:t>
      </w:r>
      <w:r w:rsidR="000C25DA">
        <w:rPr>
          <w:rFonts w:ascii="Times New Roman" w:eastAsiaTheme="minorHAnsi" w:hAnsi="Times New Roman"/>
          <w:color w:val="000000"/>
          <w:sz w:val="24"/>
          <w:szCs w:val="24"/>
        </w:rPr>
        <w:t>0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час. 00 мин.</w:t>
      </w:r>
      <w:proofErr w:type="gramEnd"/>
    </w:p>
    <w:p w:rsidR="00B82B03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="00B82B03" w:rsidRPr="003E007E">
        <w:rPr>
          <w:rFonts w:ascii="Times New Roman" w:eastAsiaTheme="minorHAnsi" w:hAnsi="Times New Roman"/>
          <w:sz w:val="24"/>
          <w:szCs w:val="24"/>
        </w:rPr>
        <w:t>. Подготовку и проведение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sz w:val="24"/>
          <w:szCs w:val="24"/>
        </w:rPr>
        <w:t>публичных слушаний возложить на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E06DF3">
        <w:rPr>
          <w:rFonts w:ascii="Times New Roman" w:eastAsiaTheme="minorHAnsi" w:hAnsi="Times New Roman"/>
          <w:bCs/>
          <w:sz w:val="24"/>
          <w:szCs w:val="24"/>
          <w:lang w:eastAsia="ar-SA"/>
        </w:rPr>
        <w:t>Управление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 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(далее - Управление</w:t>
      </w:r>
      <w:r w:rsidR="00A12240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>)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.</w:t>
      </w:r>
    </w:p>
    <w:p w:rsidR="00EE3D72" w:rsidRDefault="00194491" w:rsidP="00EE3D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82B03"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Публичные слушания провести с участием граждан, проживающих на </w:t>
      </w:r>
      <w:proofErr w:type="gramStart"/>
      <w:r w:rsidR="00B82B03"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</w:t>
      </w:r>
      <w:proofErr w:type="gramEnd"/>
      <w:r w:rsidR="00295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применительно к </w:t>
      </w:r>
      <w:proofErr w:type="gramStart"/>
      <w:r w:rsidR="0029517E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которой</w:t>
      </w:r>
      <w:proofErr w:type="gramEnd"/>
      <w:r w:rsidR="00295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будет подготовлен проект решений указанный в пункте 1 настоящего постановления, а именно на территории </w:t>
      </w:r>
      <w:proofErr w:type="spellStart"/>
      <w:r w:rsidR="000C25DA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9517E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территориального отдела.</w:t>
      </w:r>
    </w:p>
    <w:p w:rsidR="0006072B" w:rsidRPr="0006072B" w:rsidRDefault="00194491" w:rsidP="000607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ar-SA"/>
        </w:rPr>
        <w:t>5</w:t>
      </w:r>
      <w:r w:rsidR="00A12240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. Управлению по благоустройству и ра</w:t>
      </w:r>
      <w:r w:rsidR="0006072B">
        <w:rPr>
          <w:rFonts w:ascii="Times New Roman" w:eastAsiaTheme="minorHAnsi" w:hAnsi="Times New Roman"/>
          <w:bCs/>
          <w:sz w:val="24"/>
          <w:szCs w:val="24"/>
          <w:lang w:eastAsia="ar-SA"/>
        </w:rPr>
        <w:t>звитию территорий организовать п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 xml:space="preserve">роведение </w:t>
      </w:r>
      <w:r w:rsidR="0006072B">
        <w:rPr>
          <w:rFonts w:ascii="Times New Roman" w:eastAsiaTheme="minorHAnsi" w:hAnsi="Times New Roman"/>
          <w:sz w:val="24"/>
          <w:szCs w:val="24"/>
        </w:rPr>
        <w:t xml:space="preserve">экспозиции по проекту решения указанного в пункте 1 настоящего постановления, а также консультирование посетителей экспозиции, </w:t>
      </w:r>
      <w:r w:rsidR="0006072B">
        <w:rPr>
          <w:rFonts w:ascii="Times New Roman" w:eastAsiaTheme="minorHAnsi" w:hAnsi="Times New Roman"/>
          <w:color w:val="000000"/>
          <w:sz w:val="24"/>
          <w:szCs w:val="24"/>
        </w:rPr>
        <w:t xml:space="preserve">в здании </w:t>
      </w:r>
      <w:proofErr w:type="spellStart"/>
      <w:r w:rsidR="0006072B">
        <w:rPr>
          <w:rFonts w:ascii="Times New Roman" w:eastAsiaTheme="minorHAnsi" w:hAnsi="Times New Roman"/>
          <w:color w:val="000000"/>
          <w:sz w:val="24"/>
          <w:szCs w:val="24"/>
        </w:rPr>
        <w:t>Туванского</w:t>
      </w:r>
      <w:proofErr w:type="spellEnd"/>
      <w:r w:rsidR="0006072B">
        <w:rPr>
          <w:rFonts w:ascii="Times New Roman" w:eastAsiaTheme="minorHAnsi" w:hAnsi="Times New Roman"/>
          <w:color w:val="000000"/>
          <w:sz w:val="24"/>
          <w:szCs w:val="24"/>
        </w:rPr>
        <w:t xml:space="preserve"> территориального отдела Управления по благоустройству и развитию территорий по адресу</w:t>
      </w:r>
      <w:r w:rsidR="0006072B" w:rsidRPr="00B82B03">
        <w:rPr>
          <w:rFonts w:ascii="Times New Roman" w:eastAsiaTheme="minorHAnsi" w:hAnsi="Times New Roman"/>
          <w:color w:val="000000"/>
          <w:sz w:val="24"/>
          <w:szCs w:val="24"/>
        </w:rPr>
        <w:t>: Чувашская Республика,</w:t>
      </w:r>
      <w:r w:rsidR="00BD053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BD053D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BD053D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округ,</w:t>
      </w:r>
      <w:r w:rsidR="0006072B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6072B">
        <w:rPr>
          <w:rFonts w:ascii="Times New Roman" w:eastAsiaTheme="minorHAnsi" w:hAnsi="Times New Roman"/>
          <w:color w:val="000000"/>
          <w:sz w:val="24"/>
          <w:szCs w:val="24"/>
        </w:rPr>
        <w:t xml:space="preserve">село </w:t>
      </w:r>
      <w:proofErr w:type="spellStart"/>
      <w:r w:rsidR="0006072B">
        <w:rPr>
          <w:rFonts w:ascii="Times New Roman" w:eastAsiaTheme="minorHAnsi" w:hAnsi="Times New Roman"/>
          <w:color w:val="000000"/>
          <w:sz w:val="24"/>
          <w:szCs w:val="24"/>
        </w:rPr>
        <w:t>Туваны</w:t>
      </w:r>
      <w:proofErr w:type="spellEnd"/>
      <w:r w:rsidR="0006072B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06072B">
        <w:rPr>
          <w:rFonts w:ascii="Times New Roman" w:eastAsiaTheme="minorHAnsi" w:hAnsi="Times New Roman"/>
          <w:color w:val="000000"/>
          <w:sz w:val="24"/>
          <w:szCs w:val="24"/>
        </w:rPr>
        <w:t>улица Октябрьская</w:t>
      </w:r>
      <w:r w:rsidR="0006072B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дом </w:t>
      </w:r>
      <w:r w:rsidR="0006072B">
        <w:rPr>
          <w:rFonts w:ascii="Times New Roman" w:eastAsiaTheme="minorHAnsi" w:hAnsi="Times New Roman"/>
          <w:color w:val="000000"/>
          <w:sz w:val="24"/>
          <w:szCs w:val="24"/>
        </w:rPr>
        <w:t xml:space="preserve">15, </w:t>
      </w:r>
      <w:r w:rsidR="0006072B" w:rsidRPr="0006072B">
        <w:rPr>
          <w:rFonts w:ascii="Times New Roman" w:eastAsiaTheme="minorHAnsi" w:hAnsi="Times New Roman"/>
          <w:sz w:val="24"/>
          <w:szCs w:val="24"/>
        </w:rPr>
        <w:t>в рабочие дни с 09.00 до 17.00 часов (перерыв с 12.00 до 13.00) в период с 22 апреля 2024 года по 22 мая 2024 года.</w:t>
      </w:r>
    </w:p>
    <w:p w:rsidR="00A12240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Предложения и замечания </w:t>
      </w:r>
      <w:r w:rsidR="00B217F7" w:rsidRPr="00B82B03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>проекту решения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направлять в Управление по благоустройству и развитию территорий Шумерлинского муниципального округа по адресу: </w:t>
      </w:r>
      <w:proofErr w:type="gramStart"/>
      <w:r w:rsidR="00BD053D">
        <w:rPr>
          <w:rFonts w:ascii="Times New Roman" w:eastAsiaTheme="minorHAnsi" w:hAnsi="Times New Roman"/>
          <w:color w:val="000000"/>
          <w:sz w:val="24"/>
          <w:szCs w:val="24"/>
        </w:rPr>
        <w:t xml:space="preserve">Чувашская Республика,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г. Шумерля, ул. Октябрьская, дом 24 (тел. 8(83536)23905.</w:t>
      </w:r>
      <w:proofErr w:type="gramEnd"/>
    </w:p>
    <w:p w:rsidR="00B217F7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Управлению по благоустройству и развитию территорий обеспечить опубликование в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Вестник </w:t>
      </w:r>
      <w:r w:rsidR="00B217F7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инского муниципального округа»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и размещение на официальном сайте 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инского муниципального округа 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B217F7">
        <w:rPr>
          <w:rFonts w:ascii="Times New Roman" w:eastAsiaTheme="minorHAnsi" w:hAnsi="Times New Roman"/>
          <w:sz w:val="24"/>
          <w:szCs w:val="24"/>
        </w:rPr>
        <w:t>:</w:t>
      </w:r>
    </w:p>
    <w:p w:rsidR="00E07F16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B217F7">
        <w:rPr>
          <w:rFonts w:ascii="Times New Roman" w:eastAsiaTheme="minorHAnsi" w:hAnsi="Times New Roman"/>
          <w:sz w:val="24"/>
          <w:szCs w:val="24"/>
        </w:rPr>
        <w:t>.1.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E07F16">
        <w:rPr>
          <w:rFonts w:ascii="Times New Roman" w:eastAsiaTheme="minorHAnsi" w:hAnsi="Times New Roman"/>
          <w:sz w:val="24"/>
          <w:szCs w:val="24"/>
        </w:rPr>
        <w:t>настоящего постановления;</w:t>
      </w:r>
    </w:p>
    <w:p w:rsidR="00B217F7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E07F16">
        <w:rPr>
          <w:rFonts w:ascii="Times New Roman" w:eastAsiaTheme="minorHAnsi" w:hAnsi="Times New Roman"/>
          <w:sz w:val="24"/>
          <w:szCs w:val="24"/>
        </w:rPr>
        <w:t xml:space="preserve">.2. </w:t>
      </w:r>
      <w:r w:rsidR="0006072B" w:rsidRPr="0006072B">
        <w:rPr>
          <w:rFonts w:ascii="Times New Roman" w:eastAsiaTheme="minorHAnsi" w:hAnsi="Times New Roman"/>
          <w:sz w:val="24"/>
          <w:szCs w:val="24"/>
          <w:shd w:val="clear" w:color="auto" w:fill="FFFFFF"/>
        </w:rPr>
        <w:t>оповещение</w:t>
      </w:r>
      <w:r w:rsidR="00A12240" w:rsidRPr="0006072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о</w:t>
      </w:r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проведении 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публичных слушаний;</w:t>
      </w:r>
    </w:p>
    <w:p w:rsidR="00A12240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7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3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r w:rsidR="00A01E74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 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решения </w:t>
      </w:r>
      <w:r w:rsidR="00A01E74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земельного участка находящегося в территориальной зоне СХ-2 (производственная зона сельскохозяйственных предприятий), категория земель – земли сельскохозяйственного назначения, с кадастровым номером 21:23:100101:964, площадью 873 </w:t>
      </w:r>
      <w:proofErr w:type="spell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gram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.м</w:t>
      </w:r>
      <w:proofErr w:type="spellEnd"/>
      <w:proofErr w:type="gramEnd"/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округ, сельское поселение </w:t>
      </w:r>
      <w:proofErr w:type="spell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Туванское</w:t>
      </w:r>
      <w:proofErr w:type="spellEnd"/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, в целях изменения вида разрешенного использования земельного участка </w:t>
      </w:r>
      <w:proofErr w:type="gramStart"/>
      <w:r w:rsidR="00A01E74">
        <w:rPr>
          <w:rFonts w:ascii="Times New Roman" w:eastAsiaTheme="minorHAnsi" w:hAnsi="Times New Roman"/>
          <w:color w:val="000000"/>
          <w:sz w:val="24"/>
          <w:szCs w:val="24"/>
        </w:rPr>
        <w:t>с</w:t>
      </w:r>
      <w:proofErr w:type="gramEnd"/>
      <w:r w:rsidR="00A01E74">
        <w:rPr>
          <w:rFonts w:ascii="Times New Roman" w:eastAsiaTheme="minorHAnsi" w:hAnsi="Times New Roman"/>
          <w:color w:val="000000"/>
          <w:sz w:val="24"/>
          <w:szCs w:val="24"/>
        </w:rPr>
        <w:t xml:space="preserve"> «</w:t>
      </w:r>
      <w:proofErr w:type="gramStart"/>
      <w:r w:rsidR="00A01E74" w:rsidRPr="006F722B">
        <w:rPr>
          <w:sz w:val="24"/>
          <w:szCs w:val="24"/>
        </w:rPr>
        <w:t>для</w:t>
      </w:r>
      <w:proofErr w:type="gramEnd"/>
      <w:r w:rsidR="00A01E74" w:rsidRPr="006F722B">
        <w:rPr>
          <w:sz w:val="24"/>
          <w:szCs w:val="24"/>
        </w:rPr>
        <w:t xml:space="preserve">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="00A01E74">
        <w:rPr>
          <w:rFonts w:ascii="Times New Roman" w:eastAsiaTheme="minorHAnsi" w:hAnsi="Times New Roman"/>
          <w:color w:val="000000"/>
          <w:sz w:val="24"/>
          <w:szCs w:val="24"/>
        </w:rPr>
        <w:t>» на «6.9. – склады»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;</w:t>
      </w:r>
    </w:p>
    <w:p w:rsidR="00E07F16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7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.4. заключения о результатах публичных слушаний.</w:t>
      </w:r>
    </w:p>
    <w:p w:rsidR="00A01E74" w:rsidRDefault="00194491" w:rsidP="00B84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8</w:t>
      </w:r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="00A1224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Подготовку рекомендаций 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н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>а основании заключения о результатах публичных слушаний по проекту решения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 их главе 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возложить на комиссию</w:t>
      </w:r>
      <w:r w:rsidR="00593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01E7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проекта правил землепользования и застройки Шумерлинского муниципального округа Чувашской Республики</w:t>
      </w:r>
      <w:proofErr w:type="gramEnd"/>
      <w:r w:rsidR="00A01E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A01E74">
        <w:rPr>
          <w:rFonts w:ascii="Times New Roman" w:eastAsia="Times New Roman" w:hAnsi="Times New Roman"/>
          <w:sz w:val="24"/>
          <w:szCs w:val="24"/>
          <w:lang w:eastAsia="ru-RU"/>
        </w:rPr>
        <w:t>утвержденную</w:t>
      </w:r>
      <w:proofErr w:type="gramEnd"/>
      <w:r w:rsidR="00A01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главы Шумерлинского муниципального округа Чувашской Республики от 13 марта 2024 года № 1.</w:t>
      </w:r>
    </w:p>
    <w:p w:rsidR="00A12240" w:rsidRPr="00B82B03" w:rsidRDefault="00194491" w:rsidP="00A122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9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12240" w:rsidRDefault="00A12240" w:rsidP="00A12240">
      <w:pPr>
        <w:spacing w:after="0" w:line="240" w:lineRule="auto"/>
        <w:ind w:firstLine="60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1E74" w:rsidRDefault="00A01E74" w:rsidP="00A12240">
      <w:pPr>
        <w:spacing w:after="0" w:line="240" w:lineRule="auto"/>
        <w:ind w:firstLine="60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1E74" w:rsidRDefault="00A01E74" w:rsidP="00A12240">
      <w:pPr>
        <w:spacing w:after="0" w:line="240" w:lineRule="auto"/>
        <w:ind w:firstLine="60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A01E74" w:rsidTr="00A01E74">
        <w:tc>
          <w:tcPr>
            <w:tcW w:w="4361" w:type="dxa"/>
          </w:tcPr>
          <w:p w:rsidR="00A01E74" w:rsidRDefault="00A01E74" w:rsidP="00A1224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Шумерлинского муниципального округа Чувашской Республики</w:t>
            </w:r>
          </w:p>
        </w:tc>
        <w:tc>
          <w:tcPr>
            <w:tcW w:w="2693" w:type="dxa"/>
          </w:tcPr>
          <w:p w:rsidR="00A01E74" w:rsidRDefault="00A01E74" w:rsidP="00A1224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E74" w:rsidRDefault="00A01E74" w:rsidP="00A1224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01E74" w:rsidRDefault="00A01E74" w:rsidP="00A1224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01E74" w:rsidRDefault="00A01E74" w:rsidP="00A01E74">
            <w:pPr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Д.И. Головин</w:t>
            </w:r>
          </w:p>
        </w:tc>
      </w:tr>
    </w:tbl>
    <w:p w:rsidR="00A01E74" w:rsidRPr="00A01E74" w:rsidRDefault="00A01E74" w:rsidP="00A12240">
      <w:pPr>
        <w:spacing w:after="0" w:line="240" w:lineRule="auto"/>
        <w:ind w:firstLine="60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A01E74" w:rsidRPr="00A01E74" w:rsidSect="00A01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8A" w:rsidRDefault="00400B8A">
      <w:pPr>
        <w:spacing w:after="0" w:line="240" w:lineRule="auto"/>
      </w:pPr>
      <w:r>
        <w:separator/>
      </w:r>
    </w:p>
  </w:endnote>
  <w:endnote w:type="continuationSeparator" w:id="0">
    <w:p w:rsidR="00400B8A" w:rsidRDefault="0040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8A" w:rsidRDefault="00400B8A">
      <w:pPr>
        <w:spacing w:after="0" w:line="240" w:lineRule="auto"/>
      </w:pPr>
      <w:r>
        <w:separator/>
      </w:r>
    </w:p>
  </w:footnote>
  <w:footnote w:type="continuationSeparator" w:id="0">
    <w:p w:rsidR="00400B8A" w:rsidRDefault="0040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072B"/>
    <w:rsid w:val="00063E2E"/>
    <w:rsid w:val="00091545"/>
    <w:rsid w:val="000A296E"/>
    <w:rsid w:val="000C25DA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256527"/>
    <w:rsid w:val="0029517E"/>
    <w:rsid w:val="002E7E54"/>
    <w:rsid w:val="003119CD"/>
    <w:rsid w:val="0033034A"/>
    <w:rsid w:val="003347A8"/>
    <w:rsid w:val="00343AB1"/>
    <w:rsid w:val="0038184C"/>
    <w:rsid w:val="003B1BA4"/>
    <w:rsid w:val="003E007E"/>
    <w:rsid w:val="00400B8A"/>
    <w:rsid w:val="0040102A"/>
    <w:rsid w:val="00431056"/>
    <w:rsid w:val="004477C5"/>
    <w:rsid w:val="00466FF6"/>
    <w:rsid w:val="00486507"/>
    <w:rsid w:val="004A6AD4"/>
    <w:rsid w:val="004B4AF3"/>
    <w:rsid w:val="004D082A"/>
    <w:rsid w:val="004D5421"/>
    <w:rsid w:val="004E25E4"/>
    <w:rsid w:val="00527A86"/>
    <w:rsid w:val="0056185E"/>
    <w:rsid w:val="00592699"/>
    <w:rsid w:val="0059361E"/>
    <w:rsid w:val="005C2EB3"/>
    <w:rsid w:val="005F2C40"/>
    <w:rsid w:val="006831FA"/>
    <w:rsid w:val="006A1D18"/>
    <w:rsid w:val="007114C7"/>
    <w:rsid w:val="007A4324"/>
    <w:rsid w:val="007F2E5D"/>
    <w:rsid w:val="00847DA3"/>
    <w:rsid w:val="008614C1"/>
    <w:rsid w:val="0086717E"/>
    <w:rsid w:val="008C1A55"/>
    <w:rsid w:val="008D044B"/>
    <w:rsid w:val="00921273"/>
    <w:rsid w:val="0096602C"/>
    <w:rsid w:val="00A01E74"/>
    <w:rsid w:val="00A12240"/>
    <w:rsid w:val="00A27A30"/>
    <w:rsid w:val="00A709D7"/>
    <w:rsid w:val="00AC3C4C"/>
    <w:rsid w:val="00B10E1F"/>
    <w:rsid w:val="00B114C0"/>
    <w:rsid w:val="00B217F7"/>
    <w:rsid w:val="00B82B03"/>
    <w:rsid w:val="00B84B7F"/>
    <w:rsid w:val="00B9243E"/>
    <w:rsid w:val="00BD053D"/>
    <w:rsid w:val="00BF5B58"/>
    <w:rsid w:val="00BF71DA"/>
    <w:rsid w:val="00C159EA"/>
    <w:rsid w:val="00D43FE2"/>
    <w:rsid w:val="00D4567A"/>
    <w:rsid w:val="00D554F6"/>
    <w:rsid w:val="00D5689E"/>
    <w:rsid w:val="00D871BD"/>
    <w:rsid w:val="00E0217C"/>
    <w:rsid w:val="00E02347"/>
    <w:rsid w:val="00E06DF3"/>
    <w:rsid w:val="00E07F16"/>
    <w:rsid w:val="00E5514A"/>
    <w:rsid w:val="00E672A6"/>
    <w:rsid w:val="00EB5FD3"/>
    <w:rsid w:val="00EE3D72"/>
    <w:rsid w:val="00F50DA8"/>
    <w:rsid w:val="00F849E9"/>
    <w:rsid w:val="00F92E08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Валентиновна Крымова</cp:lastModifiedBy>
  <cp:revision>7</cp:revision>
  <cp:lastPrinted>2024-04-12T09:20:00Z</cp:lastPrinted>
  <dcterms:created xsi:type="dcterms:W3CDTF">2024-04-12T08:52:00Z</dcterms:created>
  <dcterms:modified xsi:type="dcterms:W3CDTF">2024-04-12T10:41:00Z</dcterms:modified>
</cp:coreProperties>
</file>