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C137E0">
        <w:trPr>
          <w:cantSplit/>
          <w:trHeight w:val="253"/>
        </w:trPr>
        <w:tc>
          <w:tcPr>
            <w:tcW w:w="4140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  <w:bookmarkStart w:id="0" w:name="_GoBack"/>
      <w:bookmarkEnd w:id="0"/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детьми;</w:t>
            </w:r>
          </w:p>
          <w:p w:rsidR="00637270" w:rsidRPr="00781E4D" w:rsidRDefault="00637270" w:rsidP="006372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45FF7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AA0F7E" w:rsidRPr="00445FF7">
              <w:rPr>
                <w:rFonts w:ascii="Times New Roman" w:eastAsiaTheme="minorHAnsi" w:hAnsi="Times New Roman"/>
                <w:sz w:val="22"/>
                <w:szCs w:val="22"/>
              </w:rPr>
              <w:t>153447,0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3 429,6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AA0F7E" w:rsidRPr="00445FF7">
              <w:rPr>
                <w:rFonts w:ascii="Times New Roman" w:eastAsiaTheme="minorHAnsi" w:hAnsi="Times New Roman"/>
                <w:sz w:val="22"/>
                <w:szCs w:val="22"/>
              </w:rPr>
              <w:t>54077,1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93 189,6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44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445FF7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>153447,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0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54077,1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93 189,6 </w:t>
      </w:r>
      <w:proofErr w:type="spellStart"/>
      <w:r w:rsidRPr="00445FF7">
        <w:rPr>
          <w:rFonts w:ascii="Times New Roman" w:eastAsiaTheme="minorHAnsi" w:hAnsi="Times New Roman"/>
          <w:sz w:val="22"/>
          <w:szCs w:val="22"/>
        </w:rPr>
        <w:t>ыс</w:t>
      </w:r>
      <w:proofErr w:type="spellEnd"/>
      <w:r w:rsidRPr="00445FF7">
        <w:rPr>
          <w:rFonts w:ascii="Times New Roman" w:eastAsiaTheme="minorHAnsi" w:hAnsi="Times New Roman"/>
          <w:sz w:val="22"/>
          <w:szCs w:val="22"/>
        </w:rPr>
        <w:t>. рублей, бюджет Шумерлинского муниципального округа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 xml:space="preserve">6 180,3 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</w:p>
    <w:p w:rsidR="0056185E" w:rsidRPr="00445FF7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45FF7" w:rsidTr="0056185E">
        <w:tc>
          <w:tcPr>
            <w:tcW w:w="1708" w:type="dxa"/>
            <w:vMerge w:val="restart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153 447,0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54 077,1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93 189,6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6 180,3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14 949,2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8 944,4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4 258,9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1 745,9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3 429,6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138497,8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88930,7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4434,4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69235,8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22566,2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44465,2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2204,4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69262,0</w:t>
            </w:r>
          </w:p>
        </w:tc>
        <w:tc>
          <w:tcPr>
            <w:tcW w:w="151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22566,5</w:t>
            </w:r>
          </w:p>
        </w:tc>
        <w:tc>
          <w:tcPr>
            <w:tcW w:w="1864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44465,5</w:t>
            </w:r>
          </w:p>
        </w:tc>
        <w:tc>
          <w:tcPr>
            <w:tcW w:w="1790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445FF7" w:rsidTr="00212A41">
        <w:tc>
          <w:tcPr>
            <w:tcW w:w="1415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445FF7" w:rsidTr="00212A41">
        <w:tc>
          <w:tcPr>
            <w:tcW w:w="1415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445FF7" w:rsidTr="00212A41">
        <w:tc>
          <w:tcPr>
            <w:tcW w:w="1415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445FF7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1 957,0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445FF7" w:rsidTr="00212A41">
        <w:tc>
          <w:tcPr>
            <w:tcW w:w="1415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61496F" w:rsidRPr="00445FF7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445FF7" w:rsidTr="00212A41">
        <w:tc>
          <w:tcPr>
            <w:tcW w:w="1415" w:type="dxa"/>
            <w:vMerge w:val="restart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445FF7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445FF7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032,4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445FF7" w:rsidTr="00212A41">
        <w:tc>
          <w:tcPr>
            <w:tcW w:w="1415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E01EB9" w:rsidRPr="00445FF7" w:rsidTr="00212A41">
        <w:tc>
          <w:tcPr>
            <w:tcW w:w="1415" w:type="dxa"/>
            <w:vMerge w:val="restart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E01EB9" w:rsidRPr="00445FF7" w:rsidRDefault="00E01EB9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345A" w:rsidRPr="00445FF7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445FF7" w:rsidRDefault="006656A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E01EB9" w:rsidRPr="00445FF7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1345A" w:rsidRPr="00445FF7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E01EB9" w:rsidRPr="00445FF7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E01EB9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61413,0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61439,0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E01EB9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44386,8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44387,0</w:t>
            </w:r>
          </w:p>
        </w:tc>
      </w:tr>
      <w:tr w:rsidR="00E01EB9" w:rsidRPr="00445FF7" w:rsidTr="00212A41">
        <w:tc>
          <w:tcPr>
            <w:tcW w:w="1415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E01EB9" w:rsidRPr="00445FF7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1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276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E01EB9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41868" w:rsidRPr="00445FF7" w:rsidTr="00212A41">
        <w:tc>
          <w:tcPr>
            <w:tcW w:w="1415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841868" w:rsidRPr="00445FF7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445FF7" w:rsidRDefault="00841868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445FF7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841868" w:rsidRPr="00445FF7" w:rsidTr="00212A41">
        <w:tc>
          <w:tcPr>
            <w:tcW w:w="1415" w:type="dxa"/>
            <w:vMerge w:val="restart"/>
          </w:tcPr>
          <w:p w:rsidR="00841868" w:rsidRPr="00445FF7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841868" w:rsidRPr="00445FF7" w:rsidRDefault="00841868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841868" w:rsidRPr="00445FF7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841868" w:rsidRPr="00445FF7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41868" w:rsidRPr="00445FF7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841868" w:rsidRPr="00445FF7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45FF7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137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 801,2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 429,6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38 588,2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1 957,0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D34418" w:rsidRPr="00445FF7">
              <w:rPr>
                <w:rFonts w:ascii="Times New Roman" w:eastAsiaTheme="minorHAnsi" w:hAnsi="Times New Roman"/>
                <w:sz w:val="22"/>
                <w:szCs w:val="22"/>
              </w:rPr>
              <w:t>93 032,7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032,4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180,3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lastRenderedPageBreak/>
        <w:t>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E035E">
        <w:rPr>
          <w:rFonts w:ascii="Times New Roman" w:eastAsiaTheme="minorHAnsi" w:hAnsi="Times New Roman"/>
          <w:sz w:val="22"/>
          <w:szCs w:val="22"/>
        </w:rPr>
        <w:t>137 801,3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5E035E">
        <w:rPr>
          <w:rFonts w:ascii="Times New Roman" w:eastAsiaTheme="minorHAnsi" w:hAnsi="Times New Roman"/>
          <w:sz w:val="22"/>
          <w:szCs w:val="22"/>
        </w:rPr>
        <w:t>38 588,3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5E035E">
        <w:rPr>
          <w:rFonts w:ascii="Times New Roman" w:eastAsiaTheme="minorHAnsi" w:hAnsi="Times New Roman"/>
          <w:sz w:val="22"/>
          <w:szCs w:val="22"/>
        </w:rPr>
        <w:t>93 032,7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5E035E">
        <w:rPr>
          <w:rFonts w:ascii="Times New Roman" w:eastAsiaTheme="minorHAnsi" w:hAnsi="Times New Roman"/>
          <w:sz w:val="22"/>
          <w:szCs w:val="22"/>
        </w:rPr>
        <w:t> 180,3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445FF7" w:rsidTr="00212A41">
        <w:tc>
          <w:tcPr>
            <w:tcW w:w="851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445FF7" w:rsidTr="00212A41">
        <w:tc>
          <w:tcPr>
            <w:tcW w:w="851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445FF7" w:rsidTr="00212A41"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445FF7" w:rsidTr="00212A41">
        <w:tc>
          <w:tcPr>
            <w:tcW w:w="851" w:type="dxa"/>
            <w:vMerge w:val="restart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445FF7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</w:t>
            </w:r>
            <w:r w:rsidR="0069361B" w:rsidRPr="00445FF7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E035E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1345A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1345A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51345A" w:rsidRPr="00445FF7" w:rsidRDefault="0012701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51345A" w:rsidRPr="00445FF7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425,3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51345A" w:rsidRPr="00445FF7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51345A" w:rsidRPr="00445FF7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sz w:val="18"/>
                <w:szCs w:val="22"/>
              </w:rPr>
            </w:pPr>
            <w:r w:rsidRPr="00445FF7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51345A" w:rsidRPr="00445FF7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51345A" w:rsidRPr="00445FF7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51345A" w:rsidRPr="00445FF7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51345A" w:rsidRPr="00445FF7" w:rsidTr="00212A41">
        <w:tc>
          <w:tcPr>
            <w:tcW w:w="851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445FF7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Обеспечение жильем молодых семей в рамках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445FF7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1345A" w:rsidRPr="00445FF7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51345A" w:rsidRPr="00445FF7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3 428,4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2 882,7</w:t>
            </w:r>
          </w:p>
        </w:tc>
        <w:tc>
          <w:tcPr>
            <w:tcW w:w="851" w:type="dxa"/>
          </w:tcPr>
          <w:p w:rsidR="0051345A" w:rsidRPr="00445FF7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1 957,0</w:t>
            </w:r>
          </w:p>
        </w:tc>
        <w:tc>
          <w:tcPr>
            <w:tcW w:w="992" w:type="dxa"/>
          </w:tcPr>
          <w:p w:rsidR="0051345A" w:rsidRPr="00445FF7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51345A" w:rsidRPr="00445FF7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51345A" w:rsidRPr="00445FF7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51345A" w:rsidRPr="00445FF7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C7" w:rsidRDefault="00B60EC7">
      <w:pPr>
        <w:spacing w:after="0" w:line="240" w:lineRule="auto"/>
      </w:pPr>
      <w:r>
        <w:separator/>
      </w:r>
    </w:p>
  </w:endnote>
  <w:endnote w:type="continuationSeparator" w:id="0">
    <w:p w:rsidR="00B60EC7" w:rsidRDefault="00B6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C7" w:rsidRDefault="00B60EC7">
      <w:pPr>
        <w:spacing w:after="0" w:line="240" w:lineRule="auto"/>
      </w:pPr>
      <w:r>
        <w:separator/>
      </w:r>
    </w:p>
  </w:footnote>
  <w:footnote w:type="continuationSeparator" w:id="0">
    <w:p w:rsidR="00B60EC7" w:rsidRDefault="00B6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12CEF"/>
    <w:rsid w:val="0002087F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601BE"/>
    <w:rsid w:val="0018415B"/>
    <w:rsid w:val="001A4FC1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B75CE"/>
    <w:rsid w:val="002C6A9A"/>
    <w:rsid w:val="002E3FF9"/>
    <w:rsid w:val="0033034A"/>
    <w:rsid w:val="00337B30"/>
    <w:rsid w:val="00343AB1"/>
    <w:rsid w:val="0037261E"/>
    <w:rsid w:val="003925B3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338FC"/>
    <w:rsid w:val="00445FF7"/>
    <w:rsid w:val="00467782"/>
    <w:rsid w:val="00473A17"/>
    <w:rsid w:val="0047737F"/>
    <w:rsid w:val="0048766A"/>
    <w:rsid w:val="00491214"/>
    <w:rsid w:val="004C12B8"/>
    <w:rsid w:val="004C4CA8"/>
    <w:rsid w:val="004F1CFD"/>
    <w:rsid w:val="0051345A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56A9"/>
    <w:rsid w:val="00673E3D"/>
    <w:rsid w:val="006831FA"/>
    <w:rsid w:val="0069361B"/>
    <w:rsid w:val="0069725F"/>
    <w:rsid w:val="006B30B4"/>
    <w:rsid w:val="006E1EE5"/>
    <w:rsid w:val="00760466"/>
    <w:rsid w:val="00781E4D"/>
    <w:rsid w:val="007B1D45"/>
    <w:rsid w:val="007D701F"/>
    <w:rsid w:val="007F2E5D"/>
    <w:rsid w:val="00821F8E"/>
    <w:rsid w:val="0083003A"/>
    <w:rsid w:val="00841868"/>
    <w:rsid w:val="008548CE"/>
    <w:rsid w:val="00876CF1"/>
    <w:rsid w:val="008A0518"/>
    <w:rsid w:val="009129A9"/>
    <w:rsid w:val="00943A46"/>
    <w:rsid w:val="00947F31"/>
    <w:rsid w:val="0095772A"/>
    <w:rsid w:val="00962595"/>
    <w:rsid w:val="00980C8B"/>
    <w:rsid w:val="0099738E"/>
    <w:rsid w:val="009C1865"/>
    <w:rsid w:val="009C18E7"/>
    <w:rsid w:val="009D5865"/>
    <w:rsid w:val="009E069A"/>
    <w:rsid w:val="00A05A7F"/>
    <w:rsid w:val="00A273ED"/>
    <w:rsid w:val="00A32812"/>
    <w:rsid w:val="00A35588"/>
    <w:rsid w:val="00A37849"/>
    <w:rsid w:val="00A4115C"/>
    <w:rsid w:val="00A77C9C"/>
    <w:rsid w:val="00A93882"/>
    <w:rsid w:val="00AA0F7E"/>
    <w:rsid w:val="00AB1A13"/>
    <w:rsid w:val="00B024A2"/>
    <w:rsid w:val="00B046EF"/>
    <w:rsid w:val="00B050B7"/>
    <w:rsid w:val="00B36169"/>
    <w:rsid w:val="00B51227"/>
    <w:rsid w:val="00B60EC7"/>
    <w:rsid w:val="00B850A4"/>
    <w:rsid w:val="00B92DFB"/>
    <w:rsid w:val="00BC678F"/>
    <w:rsid w:val="00BC7383"/>
    <w:rsid w:val="00BF2480"/>
    <w:rsid w:val="00BF36EA"/>
    <w:rsid w:val="00C0027E"/>
    <w:rsid w:val="00C137E0"/>
    <w:rsid w:val="00C159EA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B3A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E718F"/>
    <w:rsid w:val="00F0418F"/>
    <w:rsid w:val="00F16A58"/>
    <w:rsid w:val="00F41DAB"/>
    <w:rsid w:val="00F47DEE"/>
    <w:rsid w:val="00F52739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F302-A84B-4863-865A-E9F2CC5A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6420</Words>
  <Characters>36596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Трофимова</cp:lastModifiedBy>
  <cp:revision>2</cp:revision>
  <cp:lastPrinted>2023-07-10T05:21:00Z</cp:lastPrinted>
  <dcterms:created xsi:type="dcterms:W3CDTF">2023-11-17T10:35:00Z</dcterms:created>
  <dcterms:modified xsi:type="dcterms:W3CDTF">2023-11-17T10:35:00Z</dcterms:modified>
</cp:coreProperties>
</file>