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b/>
          <w:sz w:val="32"/>
        </w:rPr>
        <w:t>ПРИМЕЧАНИЯ РАЗРАБОТЧИКА</w:t>
      </w:r>
    </w:p>
    <w:p>
      <w:pPr>
        <w:jc w:val="center"/>
      </w:pPr>
      <w:r>
        <w:rPr>
          <w:rFonts w:ascii="Times New Roman" w:hAnsi="Times New Roman" w:eastAsia="Times New Roman"/>
          <w:b/>
          <w:sz w:val="28"/>
        </w:rPr>
        <w:t>к замечаниям по результатам рассмотрения проекта схемы теплоснабжения</w:t>
        <w:br/>
        <w:t>Мариинско-Посадского муниципального округа Чувашской Республики</w:t>
      </w:r>
    </w:p>
    <w:p/>
    <w:p>
      <w:r>
        <w:rPr>
          <w:rFonts w:ascii="Times New Roman" w:hAnsi="Times New Roman" w:eastAsia="Times New Roman"/>
          <w:sz w:val="24"/>
        </w:rPr>
        <w:t>Настоящий документ содержит примечания разработчика к поступившим замечаниям. Пункты, по которым разработчик располагает достаточными данными для самостоятельного устранения (редакционно-технические ошибки, нормативные ссылки, терминология, арифметические ошибки в формулах), не включены в настоящий перечень и будут устранены в ходе доработки. По остальным пунктам указаны необходимые уточнения и запрашиваемые данные у заказчика.</w:t>
      </w:r>
    </w:p>
    <w:p/>
    <w:p>
      <w:pPr>
        <w:pStyle w:val="Heading1"/>
      </w:pPr>
      <w:r>
        <w:rPr>
          <w:rFonts w:ascii="Times New Roman" w:hAnsi="Times New Roman" w:eastAsia="Times New Roman"/>
          <w:sz w:val="28"/>
        </w:rPr>
        <w:t>1. Замечания, требующие устранения — примечания разработчика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1. Раздел: Титульные листы УЧ и ОМ; колонтитулы; ОМ, вводная часть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Неоднозначный статус документа: указана схема на период до 2043 года без слов «актуализация на 2027 год», тогда как в ОМ документ назван актуализацией на 2027 год, а в колонтитулах — «актуализированной схемой».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Для устранения замечания необходимо уточнение заказчика: является ли представленный документ новой схемой теплоснабжения или актуализацией ранее утвержденной схемы (и какой именно — единой окружной или отдельных сельских поселений). Просим предоставить: копию решения о разработке/актуализации схемы; реквизиты ранее утвержденной схемы (номер, дата, наименование утвердившего органа); согласованный с заказчиком статус документа для отражения во всех томах.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2. Раздел: УЧ, заключительная часть; ОМ, паспорт и введение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УЧ утверждает, что документ «не является актуализацией ранее действовавших схем» сельских поселений, что противоречит названию «актуализированная схема» и сведениям ОМ о разработке актуализации на 2027 год.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См. пункт 1. После получения ответа от заказчика о статусе документа формулировки будут приведены к единому виду. Если документ является новой схемой — потребуется копия решения о прекращении действия прежних схем; если актуализацией — полный реестр изменений и выполненных мероприятий.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 (связано с п. 1).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3. Раздел: Титульные листы; паспорт схемы; документы территориального планирования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Расчетный срок до 2043 года не увязан с реквизитами, сроком действия и расчетным периодом действующего генерального плана.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действующий генеральный план Мариинско-Посадского муниципального округа (копию, реквизиты утверждения, дату и срок действия); расчетный период генерального плана; если расчетный срок ГП менее 2043 года — подтверждение применения исключения по пункту 8 ПП РФ № 154 или согласование сокращения горизонта схемы.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10. Раздел: ОМ, глава 2, прогноз удельных расходов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Для перспективной застройки применены СНиП 23-02-2003 и приказ Минрегиона России № 262 2010 года, не являющиеся актуальной нормативной основой.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Для пересчета удельных расходов по действующим требованиям необходимы исходные данные: перечень перспективных объектов застройки с указанием категории здания, года ввода, площади, типа (жилое, общественное, производственное); климатические параметры для расчетов (температура наружного воздуха, продолжительность отопительного периода). Просим заказчика предоставить: актуальные данные о планируемой застройке из генерального плана или иных планировочных документов; согласованный перечень объектов, которые будут подключены к централизованному теплоснабжению.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13. Раздел: УЧ, раздел 1, таблицы прогноза; ОМ, карты перспективной застройки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В УЧ прирост площади и тепловой нагрузки до 2043 года принят равным нулю, тогда как ОМ содержит графические материалы перспективного расширения индивидуальной жилой застройки. Количественная связь между картами, площадями, типами застройки и нагрузкой отсутствует.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перечень перспективных объектов с указанием площади, года ввода, типа застройки и способа теплоснабжения (централизованный/автономный); подтверждение, что застройка не влияет на централизованное теплоснабжение (если применимо) — либо расчет автономного спроса, либо корректировку прогноза нагрузки. Если перспективная застройка не планируется — подтверждение в письменной форме для обоснования нулевого прироста.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14. Раздел: УЧ, раздел 1; ОМ, главы 1–2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Не сформирован полный перечень неизменяемых расчетных элементов территориального деления по всему округу. Прогноз фактически сведен к пяти централизованным источникам.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актуальные данные по всем источникам теплоснабжения на территории округа (централизованным, автономным, децентрализованным) с указанием адресов, мощностей, годовых отпусков, видов топлива, собственников; данные по зонам индивидуального и локального теплоснабжения; сведения о границах расчетных элементов и их соответствии административно-территориальному делению.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15. Раздел: ОМ, таблица 4 — 64 автономных и децентрализованных источника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Перечень автономных источников приведен, но их мощности, годовое производство, топливо, состояние и перспектива не сведены в муниципальный баланс.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реестр автономных и децентрализованных источников с указанием мощности, нагрузки, вида топлива, собственника, года ввода, перспективы использования (сохранение/вывод); данные для формирования количественного баланса зон индивидуального и локального теплоснабжения.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16. Раздел: УЧ и ОМ: наименования источников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Одни и те же объекты названы по-разному: «Котовского», «Коновалово», «Котовская»; «Новая БМК по ул. Николаева, 93» и «Новая БМК1 Советская». Прослеживаемость объектов нарушена.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единый реестр объектов с официальными наименованиями (по ЕГРН, инвентарным данным, кадастровым номерам); копии документов ПСД с официальными наименованиями проектов; подтверждение соответствия наименований в схеме, ПП РФ № 808 и проектно-сметной документации.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18. Раздел: УЧ, раздел 10; ОМ, глава 15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Реестр ЕТО и зон деятельности не содержит перспективные системы на базе БМК1–БМК4 и не показывает изменение зон после ликвидации котельных «Советская» и «Коновалово».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После уточнения статуса документа (п. 1) и получения данных по источникам (п. 14–16) просим заказчика предоставить: действующие решения о присвоении ЕТО (копии); согласованные границы зон ответственности действующих и перспективных систем; данные для определения ЕТО для новых БМК (по каждой системе: границы, организация, потребители).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21. Раздел: УЧ, таблица 12 — сетевые потери; новые БМК1–БМК4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После вывода котельных «Советская» и «Коновалово» годовые потери их сетей сохраняются на прежнем уровне, непонятно, какие сети ликвидируются, реконструируются либо переходят к новым БМК. Для новых БМК потери в тепловых сетях приняты равными нулю.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решение о судьбе сетей выводимых котельных (ликвидация/реконструкция/переход к новым БМК) с указанием дат; трассы, длины, диаметры, изоляцию, объем теплоносителя новых тепловых сетей для БМК1–БМК4 (по данным ПСД или технических условий); материальные характеристики сетей для расчета нормативных потерь.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23. Раздел: УЧ, таблицы балансов новых БМК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Мощности новых источников многократно превышают нагрузку: БМК «Советская» 10 Гкал/ч при нагрузке 1,248 Гкал/ч; три БМК «Коновалово» суммарно 10 Гкал/ч при нагрузке около 2,038 Гкал/ч. Не раскрыты резервирование по принципу N–1 и экономические последствия низкой загрузки.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обоснование выбора единичной мощности оборудования для каждой БМК (проектные решения, ПСД); требования к резервированию по принципу N–1 (нормативные или договорные); согласование на применение избыточной мощности либо решение об оптимизации состава котлов (консервация/демонтаж избыточного оборудования).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24. Раздел: УЧ и ОМ — котельная по ул. Николаева, 93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При установленной мощности 24 Гкал/ч располагаемая мощность принята 18,52 Гкал/ч, а нагрузка около 1,92 Гкал/ч. Ограничение 5,48 Гкал/ч и многократный резерв не получили объяснения.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акты технических обследований, заключения о причинах ограничения располагаемой мощности; документы с указанием сроков устранения ограничений; обоснование сохранения избыточной мощности либо решение о консервации/демонтаже части оборудования; данные испытаний котлов и фактический режим эксплуатации.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25. Раздел: УЧ и ОМ — система с. Шоршелы; файл «Светофор»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Схема сохраняет котельную мощностью 6,1 Гкал/ч до 2043 года, тогда как «Светофор» фиксирует установленную БМК мощностью 0,75 МВт и подключение инженерных коммуникаций. Сведения о вводе новой БМК и судьбе старого источника отсутствуют.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копию файла «Светофор № 29» (или выписку из него); копию положительного заключения экспертизы от 20.02.2026; актуальные данные о строительстве БМК в с. Шоршелы (статус, дата ввода, мощность, стоимость, источник финансирования); решение о судьбе существующей котельной 6,1 Гкал/ч (вывод/консервация/резерв); ПСД и сметную документацию на объект.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26. Раздел: УЧ, раздел 2.4; ОМ, глава 7.15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Расчет радиуса эффективного теплоснабжения выполнен по упрощенной зависимости, заимствованной из статьи, а не по порядку действующего приказа № 212.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Для пересчета по приказу Минэнерго № 212 просим заказчика предоставить: исходные данные по каждому расчетному элементу (категория зданий, удельный расход тепловой энергии, плотность застройки, стоимость тепловой энергии, стоимость подключения, эксплуатационные расходы); утвержденные тарифы на тепловую энергию и транспортировку; данные о существующих и перспективных источниках для сопоставления с картами.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28. Раздел: ОМ, глава 3 «Электронная модель»; УЧ, гидравлические выводы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Разработчик добровольно ссылается на электронную модель и использует ее результаты, не представив машиночитаемый файл, полный набор исходных данных и контрольные отчеты.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рабочий файл электронной модели (формат, ПО); полный набор исходных данных для модели (топология сетей, расходы, давления, диаметры, длины, шероховатости); контрольные отчеты и пьезометрические графики; инструкцию по открытию файла модели. Либо подтвердить отказ от использования модели и согласовать альтернативный способ гидравлических расчетов.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29. Раздел: ОМ, главы 3–4; новые БМК и магистральные выводы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Не представлены однозначные результаты гидравлического расчета для каждого нового источника, каждого магистрального вывода и режима после переключения нагрузки.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результаты гидравлических расчетов по каждой системе и этапу (расходы, давления, располагаемые напоры, потери давления, скорости, невязка); таблицы контрольных точек «до/после» с указанием допустимых давлений и скоростей; расчеты режимов перехода на новые БМК; подтверждение пропускной способности сетей.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30. Раздел: Графические материалы УЧ и ОМ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Карты существующих зон представлены, но перспективные границы систем БМК1–БМК4, маршруты новых сетей, демонтируемые участки, зоны ЕТО и объекты официальных мер не идентифицированы единообразно.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исходные данные для подготовки перспективных карт (трассы новых сетей с координатами, диаметрами, длинами; границы систем БМК1–БМК4; демонтируемые участки сетей; зоны ЕТО; объекты мероприятий по повышению надежности); согласованную легенду карт; данные в электронном виде (GIS, AutoCAD и т.п.) для формирования единого комплекта.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31. Раздел: УЧ, раздел 5.8; ОМ, температурные графики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Приведены расчетные графики, но отсутствует сопоставление с фактическими режимами по годам и источникам, отклонения, расходы и давления в контрольных точках.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фактические архивные данные температурного режима по годам и источникам (графики, журналы, данные АСУ ТП); данные о расходах и давлениях в контрольных точках; причины отклонений фактического режима от расчетного; оценку затрат при изменении температурного графика (если планируется).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32. Раздел: УЧ, раздел 7; ОМ, п. о присоединении ГВС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УЧ утверждает отсутствие необходимости перевода открытых систем, но ОМ указывает открытое присоединение ГВС у потребителей котельных по ул. Сиреневой и ул. Институтской. Наличие открытых систем и их статус не определены однозначно.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реестр систем ГВС с указанием типа присоединения (открытое/закрытое) по каждому источнику; актуальные данные о потребителях с открытым присоединением (адреса, договоры, объемы); если открытые системы существуют — согласование сроков и инвестиций на перевод в закрытые; если источники не относятся к регулируемым системам — документальное подтверждение.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35. Раздел: УЧ, таблица 13 — котельная «Советская» 2025–2026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Производительность ВПУ равна нулю при положительной подпитке около 0,24 м³/ч, зафиксирован дефицит, но конкретное временное или постоянное решение до ввода новой БМК не предусмотрено.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данные о фактической производительности ВПУ котельной «Советская» (паспортные данные, акты обследования); существующую схему подпитки и источник воды; решение по устранению дефицита (увеличение производительности ВПУ, емкость запаса, иной подтвержденный способ) с техническими параметрами, сроком, стоимостью и источником финансирования.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36. Раздел: УЧ, таблица 13 — котельная с. Шоршелы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При производительности ВПУ 0,10 м³/ч максимальная подпитка принята 0,11 м³/ч, дефицит сохраняется весь период. Мера по устранению дефицита отсутствует, несмотря на реконструкцию системы.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фактические данные по ВПУ котельной с. Шоршелы (производительность, расход); проектные решения по реконструкции системы (входит ли в нее увеличение ВПУ); обоснование сохранения дефицита или мероприятие по его устранению (увеличение производительности, емкость запаса, автономный источник).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38. Раздел: УЧ, раздел 3; новые БМК1–БМК4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Для новых источников не показаны подтвержденные источники водоснабжения, параметры водоподготовки, объемы аварийного запаса, технические условия и связь с мероприятиями по резервированию водоснабжения.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по каждой БМК — подтверждение подключения к водопроводу (технические условия, акты, договоры); категорию надежности водоснабжения; расчет ВПУ (максимальный и аварийный расход); объемы баков и аварийного запаса воды; технические условия на водоснабжение; расчет автономной работы системы.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39. Раздел: ОМ, положения об аварийной подпитке необработанной водой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Допускается аварийная подпитка необработанной водой, но не установлены допустимая продолжительность, предельный объем, контроль качества, коррозионные риски и мероприятия по восстановлению водно-химического режима.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аварийные схемы подпитки по каждому источнику (источник воды, качество, автоматика/ручное включение, допустимое время); порядок контроля качества воды при аварийной подпитке; мероприятия по последующей промывке и водоподготовке; согласование допустимой продолжительности аварийной подпитки с эксплуатирующей организацией.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40. Раздел: УЧ, таблицы 15–17; ОМ, глава 5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Варианты 1 и 2 мастер-плана полностью совпадают по составу мероприятий и стоимости 445 985,02 тыс. руб. Это не два альтернативных сценария.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обоснование необходимости двух вариантов мастер-плана (если требуется); альтернативные сценарии с реальными отличиями (состав и мощность БМК, централизация/децентрализация, объем сетей, сроки, резервирование); критерии выбора приоритетного варианта; либо подтверждение отказа от альтернатив и согласование единственного варианта.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41. Раздел: ОМ, технико-экономическое сравнение мастер-плана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Сравнение ограничено капитальными затратами. Не учтены OPEX, топливо, электроэнергия, ремонт, срок службы, остаточная стоимость, дисконтирование, надежность, недоотпуск, экологические эффекты, тариф и чувствительность.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исходные данные для расчета жизненного цикла (ставка дисконтирования, сценарии цен на топливо, электроэнергию, тарифы); сроки службы оборудования по каждому варианту; данные для расчета OPEX (заработная плата, ремонт, собственные нужды); требования к расчету NPV и приведенных расходов; либо подтверждение, что сравнение по капитальным затратам является достаточным.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42. Раздел: УЧ, таблица 20 — инвестиции в источники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Один и тот же проект в микрорайоне «Советская» отражен как «Новая БМК по ул. Николаева, 93» стоимостью 198 млн руб., дополнительной строкой 2 млн руб. и как «Новая БМК1 Советская» стоимостью 100 млн руб. Риск двойного/тройного учета не устранен.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копии ПСД по каждому проекту с указанием адреса, мощности, полного состава, сметной стоимости и стадии; пояснение, что именно финансируется каждой строкой (если это разные объекты); либо подтверждение дублирования и указание, какую строку следует исключить.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43. Раздел: УЧ, сроки БМК «Советская»; система мер по ПП РФ № 808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Схема назначает реализацию отдельных строк на 2026–2027 годы, тогда как официальная система мер предусматривает строительство БМК, тепловых сетей и сетей ГВС в 2027–2030 годах. Расхождение сроков и состава не объяснено.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актуальную систему мер по ПП РФ № 808 (с актуальными сроками); копии ПСД с графиком строительства; согласованный график реализации с указанием начала/окончания, этапов, статуса финансирования; пояснение расхождения сроков или подтверждение корректировки системы мер.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44. Раздел: УЧ, проекты БМК2–БМК4 «Коновалово»; ПП РФ № 808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Официальной мерой предусмотрено строительство БМК и сетей для микрорайона «Коновалово», а схема без обоснования разделяет решение на три БМК мощностью 5; 2,5; 2,5 Гкал/ч. Не показаны адреса, границы и связь с разработанной ПСД.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технико-экономическое обоснование дробления на три БМК; адреса площадок, нагрузки, сети и зоны каждой БМК; копию ПСД на микрорайон «Коновалово»; согласование с официальной системой мер по ПП РФ № 808; если решение изменено — актуализацию меры.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45. Раздел: УЧ, разделы 6 и 9; официальные меры 8.1 и 8.2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В реестре сетевых мероприятий отсутствуют тепловые сети и сети ГВС для микрорайонов «Советская» и «Коновалово», хотя они прямо входят в официальные меры.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данные по тепловым сетям и сетям ГВС для микрорайонов «Советская» и «Коновалово» (трассы, длины, диаметры, типы прокладки, потребители); сроки начала/окончания строительства; стоимость и источник финансирования; увязку с гидравлическим расчетом и картой.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46. Раздел: УЧ, инвестиции в источники и сети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Неясно, включены ли сети в стоимость БМК или должны финансироваться отдельно. Сетевой реестр содержит только работы в Шоршелах.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разделенную смету по объектам (БМК, наружные газ/вода/электричество, тепловые сети, ГВС, ПИР, экспертиза, ввод); подтверждение, что сметы не пересекаются; свод инвестиций, исключающий двойной учет.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48. Раздел: УЧ, сетевые мероприятия Шоршелы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В перечне встречаются длины участков около 0,91 и 1,57 м, несоразмерные описанию реконструкции между камерами и зданиями. Вероятна ошибка масштаба или единиц измерения.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исполнительные схемы или ПСД по реконструкции сетей в Шоршелах; уточненные длины участков в метрах по каждому трубопроводу (в двухтрубном исчислении); координаты начала и конца каждого участка; подтверждение единиц измерения.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49. Раздел: УЧ и ОМ, источники финансирования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Финансирование обозначено укрупненно как «бюджетные средства» или амортизация без уровня бюджета, программы, решения о предоставлении средств, сумм по годам и статуса подтверждения.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конкретные источники финансирования по каждому мероприятию (бюджет/программа/лимит с реквизитами документов; собственные средства в тарифе; кредит/концессия); распределение сумм по годам; статус финансирования («подтверждено/заявлено/не определено») с указанием оснований.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50. Раздел: УЧ, раздел 9.6; ОМ, сводный том изменений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Фактически осуществленные инвестиции за базовый период и период актуализации не представлены в проверяемом виде.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реестр выполненных мероприятий с реквизитами договоров и актов ввода; фактическую стоимость выполненных работ; даты ввода объектов; источники финансирования; данные об изменении мощности, потерь, надежности; причины отклонения факта от плана.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52. Раздел: УЧ и ОМ — БМК по ул. Николаева, 72/2А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Источник включен как действующий с нагрузкой 0,014 Гкал/ч, но отсутствуют полноценные сведения о дате и акте ввода, составе оборудования, фактическом отпуске, топливе, сетях и правовом статусе системы.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копии документов о вводе объекта в эксплуатацию (акт, разрешение); паспорт источника с указанием состава оборудования, мощности, даты ввода; фактические данные по отпуску тепловой энергии, топливу, сетям; документы, определяющие правовой статус системы и ЕТО; данные для определения тарифа и надежности.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54. Раздел: УЧ, таблица 20 — котельная по ул. Николаева, 93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В 2025 году строка «Итого» 1157,05 т у.т. не включает переходный расход 5,48 т у.т.; с 2026 года итог 1162,53. Максимально-часовой расход газа без изменения нагрузки снижается с 196,66 до 109,43 нм³/ч.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данные по КПД котельной, составу оборудования, теплоте сгорания топлива, расчетной нагрузке для каждого года; обоснование изменения максимально-часового расхода газа при неизменной нагрузке; формулы и исходные данные для проверки расчета.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56. Раздел: УЧ, топливный баланс БМК по ул. Николаева, 72/2А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При положительной тепловой нагрузке и наличии источника расход топлива принят равным нулю на всем горизонте. Баланс производства и топлива не замыкается.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данные о фактической эксплуатации источника (если источник не эксплуатируется — документальное подтверждение); если источник эксплуатируется — данные по выработке, КПД, собственным нуждам, расходу топлива; либо подтверждение отсутствия эксплуатации с указанием причин.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57. Раздел: УЧ, таблица индикаторов — котельная Шоршелы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Удельный расход 91,12 кг у.т./Гкал ниже теоретического расхода при 100-процентном КПД, расчет физически невозможен.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фактические данные по топливу котельной Шоршелы (вид, теплота сгорания, расход); фактическую выработку тепловой энергии; данные по КПД оборудования; методику перевода натурального топлива в условное; либо подтверждение корректности исходных данных.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58. Раздел: ОМ, топливное обеспечение и надежность; официальная оценка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Для большинства источников не обеспечены резервное топливо, резервное электроснабжение и резервирование водоснабжения; официальные коэффициенты Кт=0,5 и Кр=0,2 подтверждают недостаточность. В схеме нет полного набора компенсирующих решений.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по каждой ненадежной системе — технические предложения по резервированию воды, электроэнергии и топлива; параметры автономной работы (длительность, объем); стоимость и срок реализации мероприятий; расчет изменения коэффициентов надежности после реализации мер.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59. Раздел: УЧ, раздел 13; ОМ, топливные балансы и новые БМК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Согласование увеличенного потребления природного газа с действующей программой газификации, техническими условиями и пропускной способностью сетей не подтверждено. Для новых БМК отсутствуют реквизиты ТУ и лимиты.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реквизиты действующей программы газификации; технические условия на подключение к газораспределительным сетям (по каждой новой БМК); максимальные часовые расходы по точкам подключения; подтверждение пропускной способности газоснабжающей организации; лимиты на потребление газа.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60. Раздел: ОМ, таблицы оценки надежности; официальная таблица Ростехнадзора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Коэффициенты надежности схемы не совпадают с официальной оценкой. Например, для «Котовского», «Советской» и БМК 72/2 официально Кэ=0,6, Кв=0,6, Кт=0,5, Кб=0,8, Кр=0,2, а в схеме применены иные значения 0,7–0,8.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официальные итоги оценки надежности с указанием даты и органа оценки (копии документов); если применены иные коэффициенты — обоснование отличий (новая утвержденная оценка, а не внутренний расчет разработчика); либо подтверждение применения официальных значений.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61. Раздел: ОМ, классификация систем Николаева, 93 и БМК 72/2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Официально обе системы отнесены к ненадежным, тогда как схема характеризует их как малонадежные. Для сети Николаева, 93 официально указана надежная категория, а в схеме — иная.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официальные документы по классификации надежности систем (копии); согласование классификации источника, сети и системы; если классификация в схеме отличается — обоснование и подтверждение новой оценки; набор обязательных предложений по повышению надежности.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62. Раздел: ОМ, статистика технологических нарушений; УЧ, таблицы 25–26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ОМ содержит фактические прекращения подачи и восстановительные работы, но УЧ устанавливает нулевые значения индикаторов на весь период без расчета эффекта мероприятий.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исходную статистику технологических нарушений за 5 лет по системам (даты, причины, продолжительность); данные для прогноза с учетом конкретных мероприятий; расчетное снижение отказов после реализации мероприятий; либо подтверждение, что нулевой прогноз обоснован.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63. Раздел: ОМ, таблицы отказов и недоотпуска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При наличии зарегистрированных отключений расчетный недоотпуск тепловой энергии принят равным нулю по всем системам.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данные по каждому событию отключения (отключенная нагрузка, продолжительность, температура наружного воздуха, объем недоотпуска); формулу расчета недоотпуска; либо документально подтвержденное отсутствие недоотпуска (акты, протоколы).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64. Раздел: ОМ, глава 11; УЧ, мастер-план и индикаторы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Не рассчитано, как строительство БМК и сетей изменит Кэ, Кв, Кт, Кб, Кр, вероятность безотказной работы, готовность и категорию надежности.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методику расчета изменения коэффициентов надежности после реализации мероприятий; данные по каждой системе (значения до и после каждого этапа); итоговую категорию надежности; показатели, какие элементы устраняют конкретные причины ненадежности.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65. Раздел: ОМ, описание тепловых сетей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Все основные системы имеют тупиковую структуру и не имеют резервных связей, однако системная стратегия резервирования отсутствует. Замена источников не решает одиночные отказы головных участков.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анализ критических участков сетей; варианты резервирования (перемычки, секционирование, мобильный источник, аварийные схемы); технико-экономическое обоснование каждого варианта; если резервирование неприменимо — техническое и экономическое обоснование неприменимости.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67. Раздел: ОМ, аварии и инциденты; ссылки на ПП РФ № 1014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Не разграничены аварийные ситуации, подлежащие расследованию по ПП РФ № 1014, и эксплуатационные инциденты/отказы. Указывается отсутствие аварий и приводится статистика нарушений без дат и квалификации.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реестр событий за 5 лет (дата, объект, причина, последствия, отключенная нагрузка, время восстановления); квалификацию событий (авария/инцидент/отказ) с указанием оснований; реквизиты расследований (если проводились) или обоснование, почему расследование не требовалось.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69. Раздел: УЧ, таблица 32 — срок эксплуатации сетей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Средневзвешенный возраст сетей 31,8 или 36 лет остается неизменным с 2025 по 2043 год. Без реконструкции возраст должен увеличиваться, а после замены отдельных участков — пересчитываться.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реестр участков сетей с датами ввода и выбытия; данные по вводу новых участков и реконструкции существующих; формулу взвешивания средневзвешенного возраста; либо подтверждение, что возраст остается неизменным по объективным причинам.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70. Раздел: УЧ, таблицы 33–34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Отношение реконструированных сетей и мощности источников принято равным нулю на всем горизонте, несмотря на программу реконструкции сетей стоимостью 27,6 млн руб., четыре новые БМК и вывод двух котельных.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реестр мероприятий по реконструкции сетей с датами ввода; данные по материальной характеристике/установленной мощности для расчета показателей; либо подтверждение, что показатели приняты равными нулю по объективным причинам.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71. Раздел: ОМ, таблица среднегодовой загрузки; УЧ, таблица 29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Фактический КИУМ в ОМ составляет 5,53%; 11,83%; 23,64%; 16,36%; 0%, тогда как УЧ использует 8%; 12,5%; 20,4%; 6,5%; 11,6%. Метод и базовый год различий не раскрыты.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единую методику расчета КИУМ; базовый год для расчета; число часов использования установленной мощности; данные по мощности и отпуску для перспективных БМК; подтверждение согласованности УЧ, ОМ и тарифной модели.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72. Раздел: УЧ, таблица 31; ОМ, коммерческий учет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Доля отпуска по приборам учета принята 100% для всех систем без числа потребителей, объема отпуска по приборам и общего отпуска. Планы установки приборов отсутствуют.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реестр приборов учета (количество, тип, дата поверки) по каждой системе; объем тепла по приборам учета и по расчету; формулу расчета доли; перечень неоснащенных приборами объектов; планы установки приборов (если 100% не достигнуто).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73. Раздел: УЧ, раздел 15; ОМ, глава 14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Тарифные модели приведены только по организациям и не идентифицируют каждую систему теплоснабжения, хотя у МУП несколько технологически изолированных систем.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данные для формирования отдельной тарифной модели по каждой системе и сводной модели по каждой ЕТО; идентификаторы систем, источников, отпусков и мероприятий для увязки строк тарифной модели; подтверждение, что повторяющиеся строки МУП относятся к разным системам.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74. Раздел: УЧ и ОМ, тарифные последствия проектов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Тарифный прогноз в основном представляет индексацию действующего тарифа и назван «экспертным предложением». Не показаны НВВ, полезный отпуск, амортизация, обслуживание долга, источники покрытия 445,985 млн руб.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требования к форме тарифной модели (если утверждены); данные для расчета НВВ, полезного отпуска, амортизации, обслуживания долга; инвестиционный денежный поток по годам; сценарии «без проекта/с проектом»; прирост тарифа в руб./Гкал и процентах; ставку дисконтирования.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75. Раздел: УЧ, таблица 23 — «рабочая мощность» для ЕТО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Рабочая мощность 1,4; 0,7; 1,6; 0,6 Гкал/ч не соответствует установленной, располагаемой или нетто-мощности из балансов. Показатель и его применение к критериям ЕТО не определены.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нормативное определение показателя «рабочая мощность»; методику его расчета; единые значения мощности из подтвержденного баланса; либо согласование корректировки критериев выбора ЕТО.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77. Раздел: УЧ, раздел 13; ОМ, синхронизация инженерных схем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Синхронизация с водоснабжением и электроэнергетикой сведена к общему утверждению об отсутствии влияния, хотя новые БМК требуют новых подключений.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действующие схемы/программы водоснабжения и электроснабжения; конкретные точки подключения новых БМК; нагрузки по воде и электроэнергии; технические условия на подключение; требуемые резервы; данные для формирования предложений по корректировке смежных схем.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78. Раздел: Графические материалы и глава надежности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Нет отдельной карты-схемы, иллюстрирующей технические решения официальной системы мер по повышению надежности.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данные для подготовки карты мероприятий (существующие и новые БМК, сети и ГВС, резервные вводы, критические участки, выводимые объекты и границы систем); согласованную легенду карты; данные в электронном виде для формирования комплекта.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79. Раздел: УЧ и ОМ — адреса, мощности, таблицы и карты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Адреса, наименования, мощности и статусы отдельных источников расходятся между таблицами, картами и официальными материалами.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единый реестр объектов с уникальными идентификаторами; таблицу соответствия прежних и новых наименований; подтвержденные данные по каждому объекту (адрес, мощность, статус, собственник); данные для сквозной сверки всех разделов.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r>
        <w:br w:type="page"/>
      </w:r>
    </w:p>
    <w:p>
      <w:pPr>
        <w:pStyle w:val="Heading1"/>
      </w:pPr>
      <w:r>
        <w:rPr>
          <w:rFonts w:ascii="Times New Roman" w:hAnsi="Times New Roman" w:eastAsia="Times New Roman"/>
          <w:sz w:val="28"/>
        </w:rPr>
        <w:t>2. Отдельное сопоставление с материалами Минстроя Чувашии по ПП РФ № 808 и файлом «Светофор» — примечания разработчика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—. Раздел: Котельная «Советская», ул. Советская, 4а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Схема предусматривает вывод источника и одновременно содержит дублирующиеся проекты БМК «Советская» с разными адресами, стоимостью и сроками; сетевые мероприятия и пересчет надежности отсутствуют. Официальная категория — ненадежная, мера 8.2: строительство БМК, тепловых сетей и сетей ГВС в мкр. «Советская», ПСД разработана, 2027–2030 годы.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единый проект ПСД на микрорайон «Советская» с фиксированным адресом, мощностью, составом и стоимостью; данные для включения БМК и сетей в реестр, карту, гидравлический расчет, инвестиции и тариф; расчет новой категории надежности после реализации мероприятий.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—. Раздел: Котельная «Котовского» / «Коновалово», ул. Котовского, 37а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Схема делит решение на три БМК общей мощностью 10 Гкал/ч и не показывает сети, адреса и соответствие ПСД; сроки установлены только на 2027 год. Официальная категория — ненадежная, мера 8.1: строительство БМК, тепловых сетей и сетей ГВС в мкр. «Коновалово», ПСД разработана, 2027–2030 годы.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обоснование дробления на три БМК либо подтверждение единого проекта ПСД; адреса площадок, нагрузки, сети и зоны каждой БМК; синхронизацию мощности, зон, сроков, сетей, стоимости, финансирования и показателей надежности с официальной системой мер.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—. Раздел: Котельная с 4-мя котлами, ул. Николаева, 93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Схема относит систему к малонадежной и использует коэффициенты, отличные от официальных. При значительном резерве мощности отсутствует системный набор мер по воде, топливу и резервированию. Официально: источник и система — ненадежные, тепловые сети — надежные; Кэ=1,0, Кв=0,6, Кт=0,5, Кб=1,0, Кр=0,2.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подтверждение официальных коэффициентов; предложения по резервированию воды/топлива и электроэнергии; расчет, какие меры обеспечат повышение категории надежности; стоимость и сроки мероприятий.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—. Раздел: БМК, ул. Николаева, 72/2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Источник указан с неполным паспортом и классифицирован схемой как малонадежный; отсутствуют отдельные мероприятия и расчет улучшения надежности. Официально: источник и система — ненадежные; Кэ=0,6, Кв=0,6, Кт=0,5, Кб=0,8, Кр=0,2.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данные для дополнения паспорта источника; предложения по резервированию с техническими параметрами, инвестициями и сроками; синхронизацию классификации источника, сети и системы.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—. Раздел: Система с. Шоршелы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Схема сохраняет старую котельную 6,1 Гкал/ч и отражает только реконструкцию сетей. Новая БМК и фактический статус работ отсутствуют. Файл «Светофор»: БМК мощностью 0,75 МВт установлена, подключаются вода, газ и тепловые сети; положительное заключение экспертизы от 20.02.2026; стоимость 69,4 млн руб.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Просим заказчика предоставить: копию файла «Светофор № 29»; копию заключения экспертизы; актуальные данные о строительстве БМК (статус, дата ввода, мощность, стоимость, финансирование); решение о судьбе старой котельной; ПСД и сметную документацию; данные для включения объекта во все разделы схемы и свод изменений.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r>
        <w:br w:type="page"/>
      </w:r>
    </w:p>
    <w:p>
      <w:pPr>
        <w:pStyle w:val="Heading1"/>
      </w:pPr>
      <w:r>
        <w:rPr>
          <w:rFonts w:ascii="Times New Roman" w:hAnsi="Times New Roman" w:eastAsia="Times New Roman"/>
          <w:sz w:val="28"/>
        </w:rPr>
        <w:t>3. Предложения по доработке рекомендательного характера — примечания разработчика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1. Раздел: Рекомендация № 1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Сформировать единый паспорт проекта: статус документа, базовый период, период актуализации, реквизиты прежней схемы, генерального плана, исходных данных и перечень всех томов/приложений.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Согласен. После получения данных от заказчика по п. 1–3 будет сформирован единый паспорт проекта. Просим заказчика предоставить все указанные реквизиты и подтвердить перечень томов.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2. Раздел: Рекомендация № 2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Ввести единый идентификатор каждого источника, системы, сети, ЕТО и мероприятия; использовать его во всех таблицах, расчетах, картах, официальных мерах, инвестициях и тарифе.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Согласен. После получения единого реестра объектов (п. 16) будет введена система уникальных идентификаторов. Просим заказчика подтвердить формат идентификаторов (цифровой, буквенно-цифровой, по шаблону).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3. Раздел: Рекомендация № 3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Создать контрольную расчетную книгу с формулами и исходными данными по спросу, мощности, потерям, ВПУ, топливу, радиусам, надежности, инвестициям и тарифу; запретить ручные отрицательные значения.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Согласен. Контрольная расчетная книга будет сформирована после получения всех исходных данных. Просим заказчика подтвердить требуемый формат (Excel, иная электронная таблица) и перечень обязательных контрольных соотношений.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4. Раздел: Рекомендация № 4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По проектам «Советская», «Коновалово» и Шоршелы подготовить отдельные карточки: ПСД, мощность, нагрузка, сети, технические условия, стоимость, финансирование, график, тариф и изменение надежности.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Согласен. Карточки будут подготовлены после получения полных данных по каждому проекту (см. п. 25, 42–45, 51 и сопоставление с ПП РФ № 808). Просим заказчика предоставить недостающие данные по каждому объекту.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5. Раздел: Рекомендация № 5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Пересобрать мастер-план на основе реальных альтернатив и стоимости жизненного цикла, включая вариант оптимизации мощности и минимизации протяженности сетей.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Согласен. Пересборка мастер-плана возможна после получения данных по п. 40–41 (альтернативные сценарии, расчет жизненного цикла). Просим заказчика предоставить исходные данные для формирования реальных альтернатив.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6. Раздел: Рекомендация № 6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Подготовить отдельное приложение «Надежность и меры по ПП РФ № 808»: официальные коэффициенты, причины ненадежности, технические решения, карты, гидравлика, инвестиции и показатели после реализации.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Согласен. Приложение будет подготовлено после получения данных по п. 58–65 (коэффициенты надежности, мероприятия, расчет эффекта). Просим заказчика предоставить официальные материалы оценки надежности и согласованные технические решения.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7. Раздел: Рекомендация № 7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Перед повторным направлением провести автоматизированную межтабличную проверку: отсутствие отрицательных расходов и нагрузок, равенство итогов, единые годы, мощности, нагрузки, потери, топливо, инвестиции и тариф.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Согласен. Автоматизированная проверка будет выполнена после устранения всех замечаний и получения полного комплекта данных. Просим заказчика подтвердить перечень контрольных соотношений для проверки.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pPr>
        <w:spacing w:after="120"/>
      </w:pPr>
      <w:r>
        <w:rPr>
          <w:rFonts w:ascii="Times New Roman" w:hAnsi="Times New Roman" w:eastAsia="Times New Roman"/>
          <w:b/>
          <w:sz w:val="24"/>
        </w:rPr>
        <w:t>Пункт 8. Раздел: Рекомендация № 8</w:t>
      </w:r>
    </w:p>
    <w:p>
      <w:pPr>
        <w:spacing w:after="60"/>
      </w:pPr>
      <w:r>
        <w:rPr>
          <w:rFonts w:ascii="Times New Roman" w:hAnsi="Times New Roman" w:eastAsia="Times New Roman"/>
          <w:b/>
          <w:sz w:val="24"/>
        </w:rPr>
        <w:t xml:space="preserve">Содержание замечания: </w:t>
      </w:r>
      <w:r>
        <w:rPr>
          <w:rFonts w:ascii="Times New Roman" w:hAnsi="Times New Roman" w:eastAsia="Times New Roman"/>
          <w:sz w:val="24"/>
        </w:rPr>
        <w:t>Провести юридико-техническую ревизию всех нормативных ссылок по состоянию на дату утверждения, включая приказ Минэнерго № 511, актуальные СП и требования энергетической эффективности зданий.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80"/>
          <w:sz w:val="24"/>
        </w:rPr>
        <w:t xml:space="preserve">Примечание разработчика: </w:t>
      </w:r>
      <w:r>
        <w:rPr>
          <w:rFonts w:ascii="Times New Roman" w:hAnsi="Times New Roman" w:eastAsia="Times New Roman"/>
          <w:sz w:val="24"/>
        </w:rPr>
        <w:t>Согласен. Ревизия нормативных ссылок будет проведена в ходе доработки. Просим заказчика предоставить перечень обязательных к применению нормативных актов на дату предполагаемого утверждения схемы.</w:t>
      </w:r>
    </w:p>
    <w:p>
      <w:pPr>
        <w:spacing w:after="240"/>
      </w:pPr>
      <w:r>
        <w:rPr>
          <w:rFonts w:ascii="Times New Roman" w:hAnsi="Times New Roman" w:eastAsia="Times New Roman"/>
          <w:b/>
          <w:sz w:val="24"/>
        </w:rPr>
        <w:t xml:space="preserve">Статус: </w:t>
      </w:r>
      <w:r>
        <w:rPr>
          <w:rFonts w:ascii="Times New Roman" w:hAnsi="Times New Roman" w:eastAsia="Times New Roman"/>
          <w:sz w:val="24"/>
        </w:rPr>
        <w:t>Требуется уточнение у заказчика.</w:t>
      </w:r>
    </w:p>
    <w:p/>
    <w:p>
      <w:r>
        <w:br w:type="page"/>
      </w:r>
    </w:p>
    <w:p>
      <w:pPr>
        <w:pStyle w:val="Heading1"/>
      </w:pPr>
      <w:r>
        <w:rPr>
          <w:rFonts w:ascii="Times New Roman" w:hAnsi="Times New Roman" w:eastAsia="Times New Roman"/>
          <w:sz w:val="28"/>
        </w:rPr>
        <w:t>Итоговое предложение разработчика</w:t>
      </w:r>
    </w:p>
    <w:p/>
    <w:p>
      <w:r>
        <w:rPr>
          <w:rFonts w:ascii="Times New Roman" w:hAnsi="Times New Roman" w:eastAsia="Times New Roman"/>
          <w:sz w:val="24"/>
        </w:rPr>
        <w:t>Разработчик согласен с необходимостью комплексной доработки проекта схемы теплоснабжения Мариинско-Посадского муниципального округа. Часть замечаний (редакционно-технические, нормативные ссылки, терминология, арифметические ошибки в формулах) может быть устранена самостоятельно и не требует дополнительных данных.</w:t>
      </w:r>
    </w:p>
    <w:p>
      <w:r>
        <w:rPr>
          <w:rFonts w:ascii="Times New Roman" w:hAnsi="Times New Roman" w:eastAsia="Times New Roman"/>
          <w:sz w:val="24"/>
        </w:rPr>
        <w:t>Однако значительная часть замечаний (включая определение статуса документа, формирование единого реестра объектов, согласование с официальными мерами по ПП РФ № 808, увязку с ПСД, обоснование инвестиций, тарифные последствия и расчет надежности) требует предоставления заказчиком дополнительных исходных данных, подтверждающих документов и согласованных решений.</w:t>
      </w:r>
    </w:p>
    <w:p>
      <w:r>
        <w:rPr>
          <w:rFonts w:ascii="Times New Roman" w:hAnsi="Times New Roman" w:eastAsia="Times New Roman"/>
          <w:sz w:val="24"/>
        </w:rPr>
        <w:t>Просим заказчика в срок до 15 (пятнадцать) рабочих дней с даты получения настоящего документа предоставить запрошенные данные и подтверждения для продолжения доработки проекта схемы.</w:t>
      </w:r>
    </w:p>
    <w:p>
      <w:r>
        <w:rPr>
          <w:rFonts w:ascii="Times New Roman" w:hAnsi="Times New Roman" w:eastAsia="Times New Roman"/>
          <w:sz w:val="24"/>
        </w:rPr>
        <w:t>В случае невозможности предоставления отдельных данных просим направить мотивированный отказ с указанием причин, для рассмотрения возможности альтернативного подхода к устранению соответствующих замечаний.</w:t>
      </w:r>
    </w:p>
    <w:p/>
    <w:p/>
    <w:p/>
    <w:p>
      <w:pPr>
        <w:jc w:val="right"/>
      </w:pPr>
      <w:r>
        <w:rPr>
          <w:rFonts w:ascii="Times New Roman" w:hAnsi="Times New Roman" w:eastAsia="Times New Roman"/>
          <w:sz w:val="24"/>
        </w:rPr>
        <w:t>__________________ / __________________ /</w:t>
      </w:r>
    </w:p>
    <w:p>
      <w:pPr>
        <w:jc w:val="right"/>
      </w:pPr>
      <w:r>
        <w:rPr>
          <w:rFonts w:ascii="Times New Roman" w:hAnsi="Times New Roman" w:eastAsia="Times New Roman"/>
          <w:sz w:val="24"/>
        </w:rPr>
        <w:t>«___» _____________ 202__ 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