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9"/>
        <w:gridCol w:w="4505"/>
        <w:gridCol w:w="4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 xml:space="preserve">№</w:t>
            </w:r>
            <w:r>
              <w:rPr>
                <w:rFonts w:ascii="Times New Roman" w:hAnsi="Times New Roman"/>
                <w:b/>
                <w:spacing w:val="-6"/>
              </w:rPr>
            </w:r>
            <w:r>
              <w:rPr>
                <w:rFonts w:ascii="Times New Roman" w:hAnsi="Times New Roman"/>
                <w:b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 xml:space="preserve">Кадастровые показатели</w:t>
            </w:r>
            <w:r>
              <w:rPr>
                <w:rFonts w:ascii="Times New Roman" w:hAnsi="Times New Roman"/>
                <w:b/>
                <w:spacing w:val="-6"/>
              </w:rPr>
            </w:r>
            <w:r>
              <w:rPr>
                <w:rFonts w:ascii="Times New Roman" w:hAnsi="Times New Roman"/>
                <w:b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Кадастровая информация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Название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осударственный природный заказник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Яблоновка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tabs>
                <w:tab w:val="center" w:pos="175" w:leader="none"/>
              </w:tabs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Категория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природный заказник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3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Значение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</w:t>
            </w:r>
            <w:r>
              <w:rPr>
                <w:rFonts w:ascii="Times New Roman" w:hAnsi="Times New Roman"/>
              </w:rPr>
              <w:t xml:space="preserve">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4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Порядковый номер кадастрового дела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Р-ГПЗ-019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5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Профиль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6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Статус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действующий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7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Дата создания, реорганизации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25.04.2012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8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Цели создания ООПТ и ее ценность, причины реорганизации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уникального участка луговой степи в естественном состоянии;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сохранение видов животных и растений, занесенных в Красную книгу Чувашской Республики;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поддержание экологического баланса.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9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Нормативная основа функционирования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правоустанавливающие документы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Кабинета Министров Чувашской Республики от</w:t>
            </w:r>
            <w:r>
              <w:rPr>
                <w:rFonts w:ascii="Times New Roman" w:hAnsi="Times New Roman"/>
              </w:rPr>
              <w:t xml:space="preserve"> 25 апреля 2012</w:t>
            </w:r>
            <w:r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162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Об образовании государст</w:t>
            </w:r>
            <w:r>
              <w:rPr>
                <w:rFonts w:ascii="Times New Roman" w:hAnsi="Times New Roman"/>
              </w:rPr>
              <w:t xml:space="preserve">венного природного заказника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Яблоновка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(с изменениями, внесенным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постановлени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Кабинета Министров Чувашской Республик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от 26.06.2013 № 249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от 25.03.2015 № 96, от 23.11.2016 № 485</w:t>
            </w:r>
            <w:r>
              <w:rPr>
                <w:rFonts w:ascii="Times New Roman" w:hAnsi="Times New Roman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</w:rPr>
              <w:t xml:space="preserve">)</w:t>
            </w:r>
            <w:r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правоудостоверяющие документы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индивидуальное положение об ООПТ, паспорт ООПТ, охранное обязательство, другие документы по организации и функционированию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1. Постановление Кабинета Министров Чувашской Республики от 27 декабря 2006 г. № 338 </w:t>
            </w:r>
            <w:r>
              <w:rPr>
                <w:rFonts w:ascii="Times New Roman" w:hAnsi="Times New Roman"/>
                <w:spacing w:val="-6"/>
              </w:rPr>
              <w:t xml:space="preserve">«</w:t>
            </w:r>
            <w:r>
              <w:rPr>
                <w:rFonts w:ascii="Times New Roman" w:hAnsi="Times New Roman"/>
                <w:spacing w:val="-6"/>
              </w:rPr>
              <w:t xml:space="preserve">Об утверждении типовых положений об особо охраняемых природных территориях регионального значения» </w:t>
            </w:r>
            <w:r>
              <w:rPr>
                <w:rFonts w:ascii="Times New Roman" w:hAnsi="Times New Roman"/>
                <w:spacing w:val="-6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"http://rdocs3.cntd.ru/document/802059573"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постановлениями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от 14.06.2007 № 136, от 10.06.2009 № 185, от 28.02.2013 № 72, от 23.07.2014 № 249, от 12.09.2018 № 361, от 27.03.2019 № 88, от 10.06.2020 № 309, от 03.04.2024 № 167)</w:t>
            </w:r>
            <w:r>
              <w:rPr>
                <w:rFonts w:ascii="Times New Roman" w:hAnsi="Times New Roman"/>
                <w:spacing w:val="-6"/>
              </w:rPr>
              <w:fldChar w:fldCharType="end"/>
              <w:t xml:space="preserve">;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2. </w:t>
            </w:r>
            <w:r>
              <w:rPr>
                <w:rFonts w:ascii="Times New Roman" w:hAnsi="Times New Roman"/>
                <w:spacing w:val="-6"/>
              </w:rPr>
              <w:t xml:space="preserve">Приказ Министерства природных ресурсов и экологии Чувашской Республики от 15 июня 2023 г. № 468 «Об утверждении </w:t>
            </w:r>
            <w:r>
              <w:rPr>
                <w:rFonts w:ascii="Times New Roman" w:hAnsi="Times New Roman"/>
                <w:spacing w:val="-6"/>
              </w:rPr>
              <w:t xml:space="preserve">Порядка охраны особо охраняемых природных территорий регионального значения в Чувашской Республике (зарегистрирован Госслужбой Чувашии по делам юстиции 11.07.2023, регистр. № 8682)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площадь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краткое содержание документа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изъятия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10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Ведомственная подчиненность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 природных ресурсов и экологии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11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Международный статус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12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Категория ООПТ согласно классификации Международного союза охраны природы (МСОП, 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IUCN</w:t>
            </w:r>
            <w:r>
              <w:rPr>
                <w:rFonts w:ascii="Times New Roman" w:hAnsi="Times New Roman"/>
                <w:spacing w:val="-6"/>
              </w:rPr>
              <w:t xml:space="preserve">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13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Число отдельно расположенных, не граничащих друг с другом, участков территории/акватории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14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Месторасположение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субъект Российской Федерации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Чувашская Республика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административно- территориальное образование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Шемуршинский</w:t>
            </w:r>
            <w:r>
              <w:rPr>
                <w:rFonts w:ascii="Times New Roman" w:hAnsi="Times New Roman"/>
              </w:rPr>
              <w:t xml:space="preserve"> муниципальный округ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15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Географическое положение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расположение ООПТ в пределах физико-географической страны, в пределах природной зоны, ландшафта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Приволжская возвышенность, Чувашское плато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расстояние и направление до ближайших населенных пунктов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№1 – </w:t>
            </w:r>
            <w:r>
              <w:rPr>
                <w:rFonts w:ascii="Times New Roman" w:hAnsi="Times New Roman"/>
              </w:rPr>
              <w:t xml:space="preserve">5,5 км юго-юго-восточнее д. Яблоновка Шемуршинского муниципального округа;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№2 – </w:t>
            </w:r>
            <w:r>
              <w:rPr>
                <w:rFonts w:ascii="Times New Roman" w:hAnsi="Times New Roman"/>
              </w:rPr>
              <w:t xml:space="preserve">5.6 км юго-юго-восточнее д. Яблоновка Шемуршинского </w:t>
            </w:r>
            <w:r>
              <w:rPr>
                <w:rFonts w:ascii="Times New Roman" w:hAnsi="Times New Roman"/>
              </w:rPr>
              <w:t xml:space="preserve">муниципального округа</w:t>
            </w:r>
            <w:r>
              <w:rPr>
                <w:rFonts w:ascii="Times New Roman" w:hAnsi="Times New Roman"/>
              </w:rPr>
              <w:t xml:space="preserve">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№3 – </w:t>
            </w:r>
            <w:r>
              <w:rPr>
                <w:rFonts w:ascii="Times New Roman" w:hAnsi="Times New Roman"/>
              </w:rPr>
              <w:t xml:space="preserve">3,5 км юго-юго-восточнее д. Яблоновка Шемуршинского </w:t>
            </w:r>
            <w:r>
              <w:rPr>
                <w:rFonts w:ascii="Times New Roman" w:hAnsi="Times New Roman"/>
              </w:rPr>
              <w:t xml:space="preserve">муниципального округа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16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Общая площадь, га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том числе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площадь земельных участков (га), включенных в границы ООПТ без изъятия из хозяйственного использования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17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Площадь охранной зоны ООПТ, га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18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Границы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Сведения о местоположении границ г</w:t>
            </w:r>
            <w:r>
              <w:rPr>
                <w:rFonts w:ascii="Times New Roman" w:hAnsi="Times New Roman"/>
              </w:rPr>
              <w:t xml:space="preserve">осударственного природного заказника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Яблоновка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представлены в </w:t>
            </w:r>
            <w:r>
              <w:rPr>
                <w:rFonts w:ascii="Times New Roman" w:hAnsi="Times New Roman"/>
              </w:rPr>
              <w:t xml:space="preserve">разделе 2</w:t>
            </w:r>
            <w:r>
              <w:rPr>
                <w:rFonts w:ascii="Times New Roman" w:hAnsi="Times New Roman"/>
              </w:rPr>
              <w:t xml:space="preserve"> приложения к </w:t>
            </w:r>
            <w:r>
              <w:rPr>
                <w:rFonts w:ascii="Times New Roman" w:hAnsi="Times New Roman"/>
              </w:rPr>
              <w:t xml:space="preserve">постановлению Кабинета Министров Чувашской Республики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25 апреля</w:t>
            </w:r>
            <w:r>
              <w:rPr>
                <w:rFonts w:ascii="Times New Roman" w:hAnsi="Times New Roman"/>
              </w:rPr>
              <w:t xml:space="preserve"> 2012</w:t>
            </w:r>
            <w:r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162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Об образовании государственного природного заказника республиканского значения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Яблоновка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  <w:t xml:space="preserve"> (с изменениями, внесенным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постановлени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Кабинета Министров Чувашской Республик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от 26.06.2013 № 249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от 25.03.2015 № 96, от 23.11.2016 № 485</w:t>
            </w:r>
            <w:r>
              <w:rPr>
                <w:rFonts w:ascii="Times New Roman" w:hAnsi="Times New Roman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и внесены в Единый государственный реестр недвижимости (реестровый номер 21:22-6.10). 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географические координаты центра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№1</w:t>
            </w: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 54°38'15,27"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 47°23'31,96"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№2 </w:t>
            </w:r>
            <w:r>
              <w:rPr>
                <w:rFonts w:ascii="Times New Roman" w:hAnsi="Times New Roman"/>
              </w:rPr>
              <w:t xml:space="preserve">N 54°37'58,15"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 47°22'36,81"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№3 </w:t>
            </w:r>
            <w:r>
              <w:rPr>
                <w:rFonts w:ascii="Times New Roman" w:hAnsi="Times New Roman"/>
              </w:rPr>
              <w:t xml:space="preserve">N 54°39'06,10"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 47°23'04,76"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19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Наличие в границах ООПТ иных ООПТ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20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Природные особенности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нарушенность территории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рельефа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рельеф сложен чередованием невысоких равнинных водоразделов и ассиметричных речных долин, где формируются почвы овражно-балочного комплекса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климата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умеренно-континентальный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среднемесячная 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t </w:t>
            </w:r>
            <w:r>
              <w:rPr>
                <w:rFonts w:ascii="Times New Roman" w:hAnsi="Times New Roman"/>
                <w:spacing w:val="-6"/>
              </w:rPr>
              <w:t xml:space="preserve">воздуха января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-13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среднемесячная 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t </w:t>
            </w:r>
            <w:r>
              <w:rPr>
                <w:rFonts w:ascii="Times New Roman" w:hAnsi="Times New Roman"/>
                <w:spacing w:val="-6"/>
              </w:rPr>
              <w:t xml:space="preserve">воздуха июля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+19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сумма активных 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t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годовая сумма осадков, мм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повторяемость ветров, %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зима – ю-з, лето – 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продолжительность вегетационного периода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месяцев, с мая по октябрь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продолжительность периода с устойчивым снежным покровом и глубина снежного покрова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месяцев, с ноября по март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периодичность проявления опасных климатических явлений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почвенного покрова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районе преобладают известковые почвы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краткое описание гидрологической сети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флоры и растительности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Растительность характеризуется разнообразием склоновых экотопов, на которых встречаются луговые и лесные сообщества. Основную часть склонов занимают, в зависимости от экспозиции, суходольные и мезофитные луга с куртинами видов я</w:t>
            </w:r>
            <w:r>
              <w:rPr>
                <w:rFonts w:ascii="Times New Roman" w:hAnsi="Times New Roman"/>
              </w:rPr>
              <w:t xml:space="preserve">блони, шиповника и других. Большая часть склонов зарастает сосной обыкновенной. Суходольные участки склонов занимают мелкотравные луга с участием ксеромезофитов (земляника зеленая, мятлики узколистный и сплюснутый, нонея русская, подмаренник настоящий). На</w:t>
            </w:r>
            <w:r>
              <w:rPr>
                <w:rFonts w:ascii="Times New Roman" w:hAnsi="Times New Roman"/>
              </w:rPr>
              <w:t xml:space="preserve"> склоне восточной экспозиции произрастает осинник липовый: 1 ярус – осина средневозрастная; 2 ярус – липовый тонкомер; 3 ярус – подрост основных пород, клен остролистный, дуб черешчатый; из кустарников – лещина, бересклет бородавчатый, крушина ольховидная.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Большую часть флоры составляют луговые и лесные виды с небольшой долей лугово-степных видов и сорных. Впервые для юго-востока Чувашии найдены лен желтый (второе местонахождение в республике), розы иглистая и рощевая.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краткие сведения о лесном фонде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лесничество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участковое лесничество - квартал (выдела)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тип леса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краткие сведения о животном мире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энтомофауне преобладают типично лесные и луговые виды. Выявлен ряд редких для Чувашии видов жуков: Mesotrichapion amethystinum (Mill.), Charopus flavipes (Pk.), Cyanapion alcyoneum (Germ.</w:t>
            </w:r>
            <w:r>
              <w:rPr>
                <w:rFonts w:ascii="Times New Roman" w:hAnsi="Times New Roman"/>
              </w:rPr>
              <w:t xml:space="preserve">), Cyanapion columbinum (Germ.), Drilus concolor Ahr., Chrysolina marginata (L.), Xylotrechus antilope (Schoenh.). Обнаружены новые для Чувашии виды жуков из семейств Apionidae (Mesotrichapion sp.), Tenebrionidae (Gonoderus sp.), Curculionidae (Lixus sp.).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орнитофауне виды, характерные для открытых пространств и опушечного комплекса. Среди птиц самым массовым видом является жаворонок полевой, многочисленны чекан луговой, конек лесной, овсянка обыкновенная и лунь луговой.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сведения о редких и находящихс</w:t>
            </w:r>
            <w:r>
              <w:rPr>
                <w:rFonts w:ascii="Times New Roman" w:hAnsi="Times New Roman"/>
              </w:rPr>
              <w:t xml:space="preserve">я под угрозой исчезновения объектах животного и растительного мира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(категория) – растения: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лазурник трехлопастной – Laser trilobum (L.) Borkh. (2), гроздовник полулунный – Botrychium lunaria (L.) Sw. (2), тимьян Маршалла – Thymus marschallianus Willd. (2), лен желтый – Linum flavum L. (2), девясил высокий – Inula heleniu</w:t>
            </w:r>
            <w:r>
              <w:rPr>
                <w:rFonts w:ascii="Times New Roman" w:hAnsi="Times New Roman"/>
              </w:rPr>
              <w:t xml:space="preserve">m L. (3), астрагал солодколистный – Astragalus glycyphyllos L. (3), горечавка крестовидная – Gentiana cruciata L. (3), змееголовник Рюйша – Dracocephalum ruyschiana L. (3), душица обыкновенная – Origanum vulgare L. (3), гнездовка настоящая – Neottia nidus-</w:t>
            </w:r>
            <w:r>
              <w:rPr>
                <w:rFonts w:ascii="Times New Roman" w:hAnsi="Times New Roman"/>
              </w:rPr>
              <w:t xml:space="preserve">avis (L.) Rich. (3), лапчатка прямая – Potentilla recta L. (3), роза иглистая – Rosa acicularis Lindl. (3), яблоня лесная – Malus sylvestris (L.) Mill. (4), вязель разноцветный – Securigera varia (L.) Lassen (4), ленец полевой – Thesium arvense Horvat. (4)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источник: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(2019)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(категория) – животные: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прямокрылые: севчук Лаксманна – Onconotus laxmanni (Pall.) (прил.)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равнокрылые: цикада горная – Cicadetta montana (Scop.) (3)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жесткокрылые: Carabus convexus F. (прил.), лептура пятнистая – Rutpela maculata (Poda) (прил.)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чешуекрылые: дриада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Minois</w:t>
            </w:r>
            <w:r>
              <w:rPr>
                <w:rFonts w:ascii="Times New Roman" w:hAnsi="Times New Roman"/>
              </w:rPr>
              <w:t xml:space="preserve"> d</w:t>
            </w:r>
            <w:r>
              <w:rPr>
                <w:rFonts w:ascii="Times New Roman" w:hAnsi="Times New Roman"/>
              </w:rPr>
              <w:t xml:space="preserve">ryas (Scop.) (прил.)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птицы: веретенник большой – Limosa limosa (L.) (2), перепел – Coturnix coturnix (L.) (прил.)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источники: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Красная книга Чувашской Республики </w:t>
            </w:r>
            <w:r>
              <w:rPr>
                <w:rFonts w:ascii="Times New Roman" w:hAnsi="Times New Roman"/>
              </w:rPr>
              <w:t xml:space="preserve">(2023)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суммарные сведения о биологическом разнообразии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 191 вид сосудистых растений, 153 вида жесткокрылых, 31 вид птиц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основных экосистем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луговая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редкие виды растений и животных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природных лечебных и рекреационных ресурсов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краткая характеристика наиболее значимых историко-культурных объектов, находящихся в границах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оценка современного состо</w:t>
            </w:r>
            <w:r>
              <w:rPr>
                <w:rFonts w:ascii="Times New Roman" w:hAnsi="Times New Roman"/>
                <w:spacing w:val="-6"/>
              </w:rPr>
              <w:t xml:space="preserve">яния и вклада ООПТ в поддержание</w:t>
            </w:r>
            <w:r>
              <w:rPr>
                <w:rFonts w:ascii="Times New Roman" w:hAnsi="Times New Roman"/>
                <w:spacing w:val="-6"/>
              </w:rPr>
              <w:t xml:space="preserve"> э</w:t>
            </w:r>
            <w:r>
              <w:rPr>
                <w:rFonts w:ascii="Times New Roman" w:hAnsi="Times New Roman"/>
                <w:spacing w:val="-6"/>
              </w:rPr>
              <w:t xml:space="preserve">кологического баланса окружающих </w:t>
            </w:r>
            <w:r>
              <w:rPr>
                <w:rFonts w:ascii="Times New Roman" w:hAnsi="Times New Roman"/>
                <w:spacing w:val="-6"/>
              </w:rPr>
              <w:t xml:space="preserve">территорий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21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Экспликация земель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экспликация по составу земель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нелесные земли – 100 %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экспликация земель особо охраняемых территорий и объектов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экспликация земель лесного фонда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22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Негативное воздействие на ООПТ (факторы и угрозы)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факторы негативного воздействия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угрозы негативного воздействия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23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лица, ответственные за обеспечение охраны и функционирование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название организации, взявшей обязательства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полный почтовый адрес, телефон, факс, 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E</w:t>
            </w: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mail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дата государственной регистрации  юридического лица и регистрационный номер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ф.и.о. (полностью) руководителя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Borders>
              <w:bottom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428032, ЧР г. Чебоксары, ул. Ленинградская, д.33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Тел.(8352) 62-69-22, факс: (8352) 62-73-83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minpiroda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cap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minpiroda</w:t>
            </w:r>
            <w:r>
              <w:rPr>
                <w:rStyle w:val="866"/>
                <w:rFonts w:ascii="Times New Roman" w:hAnsi="Times New Roman"/>
              </w:rPr>
              <w:t xml:space="preserve">@</w:t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cap</w:t>
            </w:r>
            <w:r>
              <w:rPr>
                <w:rStyle w:val="866"/>
                <w:rFonts w:ascii="Times New Roman" w:hAnsi="Times New Roman"/>
              </w:rPr>
              <w:t xml:space="preserve">.</w:t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сайт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  <w:lang w:val="en-US"/>
              </w:rPr>
              <w:t xml:space="preserve">www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minpriroda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cap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1022101141700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</w:rPr>
              <w:t xml:space="preserve">Бедертдинов Эмир Нуртдинович</w:t>
            </w:r>
            <w:r>
              <w:rPr>
                <w:rFonts w:ascii="Times New Roman" w:hAnsi="Times New Roman"/>
              </w:rPr>
              <w:t xml:space="preserve">, министр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/>
        </w:trPr>
        <w:tc>
          <w:tcPr>
            <w:tcW w:w="599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Borders>
              <w:top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 ЧР «Дирекция по охране животного мира и ООПТ» 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428024, ЧР, г.Чебоксары, пр. Мира, д. 90, корп. 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Тел/факс: (8352) 28-75-77, E-mail: oopt21@yandex.ru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1022101137090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Андреев Федор Владимирович</w:t>
            </w:r>
            <w:r>
              <w:rPr>
                <w:rFonts w:ascii="Times New Roman" w:hAnsi="Times New Roman"/>
              </w:rPr>
              <w:t xml:space="preserve">, директор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24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 xml:space="preserve">Сведения об иных лицах, на которые возложены обязательства по охране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ф.и.о. физического лица (физических лиц)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полный почтовый адрес, телефон, 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E</w:t>
            </w:r>
            <w:r>
              <w:rPr>
                <w:rFonts w:ascii="Times New Roman" w:hAnsi="Times New Roman"/>
                <w:spacing w:val="-6"/>
              </w:rPr>
              <w:t xml:space="preserve">-</w:t>
            </w:r>
            <w:r>
              <w:rPr>
                <w:rFonts w:ascii="Times New Roman" w:hAnsi="Times New Roman"/>
                <w:spacing w:val="-6"/>
                <w:lang w:val="en-US"/>
              </w:rPr>
              <w:t xml:space="preserve">mail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25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Общий режим охраны и использования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</w:rPr>
              <w:t xml:space="preserve">Положение о государственном </w:t>
            </w:r>
            <w:r>
              <w:rPr>
                <w:rFonts w:ascii="Times New Roman" w:hAnsi="Times New Roman"/>
              </w:rPr>
              <w:t xml:space="preserve">природном</w:t>
            </w:r>
            <w:r>
              <w:rPr>
                <w:rFonts w:ascii="Times New Roman" w:hAnsi="Times New Roman"/>
              </w:rPr>
              <w:t xml:space="preserve"> заказнике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Яблоновка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утвержденный постановлением Кабинета Министров Чувашской Республике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25 апреля</w:t>
            </w:r>
            <w:r>
              <w:rPr>
                <w:rFonts w:ascii="Times New Roman" w:hAnsi="Times New Roman"/>
              </w:rPr>
              <w:t xml:space="preserve"> 2012</w:t>
            </w:r>
            <w:r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162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Об образовании государственного природного заказника республиканского значения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Яблоновка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  <w:t xml:space="preserve"> (с изменениями, внесенным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постановлени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Кабинета Министров Чувашской Республик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от 26.06.2013 № 249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pacing w:val="-6"/>
              </w:rPr>
              <w:t xml:space="preserve">от 25.03.2015 № 96, от 23.11.2016 № 485</w:t>
            </w:r>
            <w:r>
              <w:rPr>
                <w:rFonts w:ascii="Times New Roman" w:hAnsi="Times New Roman"/>
                <w:spacing w:val="-6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</w:rPr>
              <w:t xml:space="preserve">):</w:t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- запрещенные виды деятельности: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охота (за исключением регулирования численности охотничьих ресурсов), промышленное рыболовство, рыболовство в целях аквакультуры (рыбоводства) и аквакультура (рыбоводство);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возведение объектов капитального строительства, не связанных с использованием территории заказника;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предоставление земельных участков для ведения садоводства и огородничества, строительства гаражей для собственных нужд или индивидуального жилищного строительства, а также строительства хозяйственных и жилых объектов;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нарушение мест обитания объектов животного мира, умышленное причинение беспокойства и отлов объектов животного мира;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сжигание сухих листьев и травы, в том числе весенние палы, разведение костров вне специально отведенных мест;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проведение массовых спортивных, зрелищных и иных мероприятий вне специально выделенных для этих целей мест и без разрешения Министерства природных ресурсов и экологии Чувашской Республики;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движение и стоянка механизированных транспортных средств, не связанных с функционированием заказника;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загрязнение почв, замусоривание территории, захоронение мусора, устройство снегосвалок;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пребывание посетителей с пневматическим и иным оружием, рогатками, сачками и другими орудиями отстрела и отлова животных;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свободный выгул собак;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самовольные посадки деревьев и кустарников, а также другие самовольные действия граждан, направленные на обустройство отдельных участков заказника;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повреждение биотехнических объектов, информационных знаков и аншлагов;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сплошные и выборочные рубки лесных насаждений, за исключением рубок при проведении санитарно-оздоровительных мероприятий, рубок, проводимых в целях ухода за лесными насаждениями, очень слабой и слабой интенсивности, рубок аварийных деревьев, рубок в целях 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использования линейных объектов;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строительство, реконструкция и эксплуатация дорог, трубопроводов, линий электропередачи и других коммуникаций, за исключением реконструкции и эксплуатации существующих на момент создания заказника линейных объектов с учетом 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Требований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от 13 августа 1996 г.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электропередачи";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осуществление геологического изучения недр, разведка и добыча полезных ископаемых;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rPr>
                <w:rFonts w:ascii="Times New Roman" w:hAnsi="Times New Roman" w:eastAsia="Calibri" w:cs="Times New Roman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иные виды хозяйственной деятельности, рекреационного и другого природопользования, препятствующие сохранению, воспроизводству и восстановлению природных ресурсов (объектов). </w:t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en-US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разрешенные виды деятельности: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В границах заказника определяются следующие основные виды разрешенного использования земельных участков: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природно-познавательный туризм (код 5.2);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охрана природных территорий (код 9.1).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В границах заказника определяются следующие вспомогательные виды разрешенного использования земельных участков: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передвижное жилье (код 2.4);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туристическое обслуживание (код 5.2.1).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Предельные параметры разрешенного строительства, реконструкции объектов капитального строительства: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предельные (максимальные) размеры земельных участков - 4 x 4 м; предельная (максимальная) площадь земельных участков - 16 м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- 5 м;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предельная высота зданий, строений, сооружений от уровня земли до верхней отметки - конька скатной кровли - до 5 м;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максимальный процент застройки в границах земельного участка - до 75%.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26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Зонирование территории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27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Режим охранной зоны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28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Собственники, землепользователи, землевладельцы, арендаторы земельных участков, находящихся в границах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color w:val="ff0000"/>
                <w:spacing w:val="-6"/>
              </w:rPr>
            </w:pPr>
            <w:r>
              <w:rPr>
                <w:rFonts w:ascii="Times New Roman" w:hAnsi="Times New Roman"/>
                <w:color w:val="ff0000"/>
                <w:spacing w:val="-6"/>
              </w:rPr>
            </w:r>
            <w:r>
              <w:rPr>
                <w:rFonts w:ascii="Times New Roman" w:hAnsi="Times New Roman"/>
                <w:color w:val="ff0000"/>
                <w:spacing w:val="-6"/>
              </w:rPr>
            </w:r>
            <w:r>
              <w:rPr>
                <w:rFonts w:ascii="Times New Roman" w:hAnsi="Times New Roman"/>
                <w:color w:val="ff0000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Чукальский территориальный отдел Шемуршинского муниципального округа Чувашской Республики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429186, ЧР, </w:t>
            </w:r>
            <w:r>
              <w:rPr>
                <w:rFonts w:ascii="Times New Roman" w:hAnsi="Times New Roman"/>
              </w:rPr>
              <w:t xml:space="preserve">Шемуршинск</w:t>
            </w:r>
            <w:r>
              <w:rPr>
                <w:rFonts w:ascii="Times New Roman" w:hAnsi="Times New Roman"/>
              </w:rPr>
              <w:t xml:space="preserve">ий муниципальный округ,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</w:t>
            </w:r>
            <w:r>
              <w:rPr>
                <w:rFonts w:ascii="Times New Roman" w:hAnsi="Times New Roman"/>
              </w:rPr>
              <w:t xml:space="preserve">. Нов. Чукалы, ул. Полевая, </w:t>
            </w:r>
            <w:r>
              <w:rPr>
                <w:rFonts w:ascii="Times New Roman" w:hAnsi="Times New Roman"/>
              </w:rPr>
              <w:t xml:space="preserve">д.</w:t>
            </w:r>
            <w:r>
              <w:rPr>
                <w:rFonts w:ascii="Times New Roman" w:hAnsi="Times New Roman"/>
              </w:rPr>
              <w:t xml:space="preserve">1, тел.: 8(83546) 2-70-12,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lang w:val="en-US"/>
              </w:rPr>
              <w:t xml:space="preserve">e-mail: sao-chukaly@shemur.cap.ru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Храмова Наталия Николаевна, и.о. начальника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29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Просветительские и рекреационные объекты на ООПТ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музеи природы, информационные и визит-центры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экологические экскурсионные и/или туристические маршруты, экологические тропы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гостиничные  и/или туристические комплексы и сооружения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лечебно-оздоровительные учреждения, пансионаты, дома отдыха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30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ФИО, должность, место работы, телефон, адрес электронной почты специалиста, подготовившего кадастровые сведения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Исаков Геннадий Николаевич, заместитель директора КУ ЧР «Дирекция по охране животного мира и ООПТ» Минприроды Чувашии, (8352) 28-75-77, </w:t>
            </w:r>
            <w:r>
              <w:rPr>
                <w:rFonts w:ascii="Times New Roman" w:hAnsi="Times New Roman"/>
                <w:lang w:val="en-US"/>
              </w:rPr>
              <w:t xml:space="preserve">oopt</w:t>
            </w:r>
            <w:r>
              <w:rPr>
                <w:rFonts w:ascii="Times New Roman" w:hAnsi="Times New Roman"/>
              </w:rPr>
              <w:t xml:space="preserve">21@</w:t>
            </w:r>
            <w:r>
              <w:rPr>
                <w:rFonts w:ascii="Times New Roman" w:hAnsi="Times New Roman"/>
                <w:lang w:val="en-US"/>
              </w:rPr>
              <w:t xml:space="preserve">yandex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07.10.2024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54"/>
      </w:pPr>
      <w:r/>
      <w:r/>
    </w:p>
    <w:p>
      <w:pPr>
        <w:pStyle w:val="854"/>
      </w:pPr>
      <w:r>
        <w:br w:type="page" w:clear="all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-528319</wp:posOffset>
                </wp:positionH>
                <wp:positionV relativeFrom="paragraph">
                  <wp:posOffset>69850</wp:posOffset>
                </wp:positionV>
                <wp:extent cx="6547485" cy="938847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5537" t="6287" r="7420" b="4432"/>
                        <a:stretch/>
                      </pic:blipFill>
                      <pic:spPr bwMode="auto">
                        <a:xfrm>
                          <a:off x="0" y="0"/>
                          <a:ext cx="6547485" cy="9388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-41.60pt;mso-position-horizontal:absolute;mso-position-vertical-relative:text;margin-top:5.50pt;mso-position-vertical:absolute;width:515.55pt;height:739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ucida Sans Unicode">
    <w:panose1 w:val="020B0502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5">
    <w:name w:val="Заголовок 1"/>
    <w:basedOn w:val="854"/>
    <w:next w:val="854"/>
    <w:link w:val="860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36"/>
      <w:szCs w:val="24"/>
      <w:lang w:val="en-US" w:eastAsia="ru-RU"/>
    </w:rPr>
  </w:style>
  <w:style w:type="paragraph" w:styleId="856">
    <w:name w:val="Заголовок 4"/>
    <w:basedOn w:val="854"/>
    <w:next w:val="854"/>
    <w:link w:val="870"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character" w:styleId="857">
    <w:name w:val="Основной шрифт абзаца"/>
    <w:next w:val="857"/>
    <w:link w:val="854"/>
    <w:uiPriority w:val="1"/>
    <w:semiHidden/>
    <w:unhideWhenUsed/>
  </w:style>
  <w:style w:type="table" w:styleId="858">
    <w:name w:val="Обычная таблица"/>
    <w:next w:val="858"/>
    <w:link w:val="854"/>
    <w:uiPriority w:val="99"/>
    <w:semiHidden/>
    <w:unhideWhenUsed/>
    <w:qFormat/>
    <w:tblPr/>
  </w:style>
  <w:style w:type="numbering" w:styleId="859">
    <w:name w:val="Нет списка"/>
    <w:next w:val="859"/>
    <w:link w:val="854"/>
    <w:uiPriority w:val="99"/>
    <w:semiHidden/>
    <w:unhideWhenUsed/>
  </w:style>
  <w:style w:type="character" w:styleId="860">
    <w:name w:val="Заголовок 1 Знак"/>
    <w:next w:val="860"/>
    <w:link w:val="855"/>
    <w:rPr>
      <w:rFonts w:ascii="Times New Roman" w:hAnsi="Times New Roman" w:eastAsia="Times New Roman" w:cs="Times New Roman"/>
      <w:sz w:val="36"/>
      <w:szCs w:val="24"/>
      <w:lang w:eastAsia="ru-RU"/>
    </w:rPr>
  </w:style>
  <w:style w:type="paragraph" w:styleId="861">
    <w:name w:val="Верхний колонтитул"/>
    <w:basedOn w:val="854"/>
    <w:next w:val="861"/>
    <w:link w:val="86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862">
    <w:name w:val="Верхний колонтитул Знак"/>
    <w:next w:val="862"/>
    <w:link w:val="86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>
    <w:name w:val="Основной текст"/>
    <w:basedOn w:val="854"/>
    <w:next w:val="863"/>
    <w:link w:val="865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4">
    <w:name w:val="Основной текст Знак"/>
    <w:next w:val="864"/>
    <w:link w:val="854"/>
    <w:uiPriority w:val="99"/>
    <w:semiHidden/>
    <w:rPr>
      <w:rFonts w:ascii="Calibri" w:hAnsi="Calibri" w:eastAsia="Calibri" w:cs="Times New Roman"/>
    </w:rPr>
  </w:style>
  <w:style w:type="character" w:styleId="865">
    <w:name w:val="Основной текст Знак1"/>
    <w:next w:val="865"/>
    <w:link w:val="8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Гиперссылка"/>
    <w:next w:val="866"/>
    <w:link w:val="854"/>
    <w:uiPriority w:val="99"/>
    <w:unhideWhenUsed/>
    <w:rPr>
      <w:color w:val="0000ff"/>
      <w:u w:val="single"/>
    </w:rPr>
  </w:style>
  <w:style w:type="paragraph" w:styleId="867">
    <w:name w:val="printj"/>
    <w:basedOn w:val="854"/>
    <w:next w:val="867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8">
    <w:name w:val="Основной текст 3"/>
    <w:basedOn w:val="854"/>
    <w:next w:val="868"/>
    <w:link w:val="869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styleId="869">
    <w:name w:val="Основной текст 3 Знак"/>
    <w:next w:val="869"/>
    <w:link w:val="868"/>
    <w:uiPriority w:val="99"/>
    <w:semiHidden/>
    <w:rPr>
      <w:sz w:val="16"/>
      <w:szCs w:val="16"/>
      <w:lang w:eastAsia="en-US"/>
    </w:rPr>
  </w:style>
  <w:style w:type="character" w:styleId="870">
    <w:name w:val="Заголовок 4 Знак"/>
    <w:next w:val="870"/>
    <w:link w:val="856"/>
    <w:rPr>
      <w:rFonts w:eastAsia="Times New Roman"/>
      <w:b/>
      <w:bCs/>
      <w:sz w:val="28"/>
      <w:szCs w:val="28"/>
    </w:rPr>
  </w:style>
  <w:style w:type="paragraph" w:styleId="871">
    <w:name w:val="Текст примечания"/>
    <w:basedOn w:val="854"/>
    <w:next w:val="871"/>
    <w:link w:val="872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872">
    <w:name w:val="Текст примечания Знак"/>
    <w:next w:val="872"/>
    <w:link w:val="871"/>
    <w:semiHidden/>
    <w:rPr>
      <w:rFonts w:ascii="Times New Roman" w:hAnsi="Times New Roman" w:eastAsia="Times New Roman"/>
    </w:rPr>
  </w:style>
  <w:style w:type="character" w:styleId="873">
    <w:name w:val="Код HTML"/>
    <w:next w:val="873"/>
    <w:link w:val="854"/>
    <w:unhideWhenUsed/>
    <w:rPr>
      <w:rFonts w:ascii="Courier New" w:hAnsi="Courier New" w:eastAsia="Times New Roman" w:cs="Courier New"/>
      <w:sz w:val="20"/>
      <w:szCs w:val="20"/>
    </w:rPr>
  </w:style>
  <w:style w:type="paragraph" w:styleId="874">
    <w:name w:val="Основной текст 31"/>
    <w:basedOn w:val="854"/>
    <w:next w:val="874"/>
    <w:link w:val="854"/>
    <w:pPr>
      <w:jc w:val="both"/>
      <w:spacing w:after="0" w:line="240" w:lineRule="auto"/>
      <w:widowControl w:val="off"/>
    </w:pPr>
    <w:rPr>
      <w:rFonts w:ascii="Arial" w:hAnsi="Arial" w:eastAsia="Lucida Sans Unicode"/>
      <w:sz w:val="28"/>
      <w:szCs w:val="24"/>
      <w:lang w:eastAsia="en-US"/>
    </w:rPr>
  </w:style>
  <w:style w:type="character" w:styleId="875">
    <w:name w:val="apple-converted-space"/>
    <w:basedOn w:val="857"/>
    <w:next w:val="875"/>
    <w:link w:val="854"/>
  </w:style>
  <w:style w:type="paragraph" w:styleId="876">
    <w:name w:val="ConsPlusNormal"/>
    <w:next w:val="876"/>
    <w:link w:val="854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77">
    <w:name w:val="formattext"/>
    <w:basedOn w:val="854"/>
    <w:next w:val="877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60</cp:revision>
  <dcterms:created xsi:type="dcterms:W3CDTF">2014-02-04T08:35:00Z</dcterms:created>
  <dcterms:modified xsi:type="dcterms:W3CDTF">2024-12-28T11:52:09Z</dcterms:modified>
  <cp:version>786432</cp:version>
</cp:coreProperties>
</file>