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855DC0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DC0" w:rsidRDefault="00FB5120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855DC0" w:rsidRDefault="00855DC0">
            <w:pPr>
              <w:spacing w:line="260" w:lineRule="exact"/>
              <w:jc w:val="center"/>
            </w:pPr>
          </w:p>
          <w:p w:rsidR="00855DC0" w:rsidRDefault="00FB512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855DC0" w:rsidRDefault="00FB512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855DC0" w:rsidRDefault="00FB512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855DC0" w:rsidRDefault="00855DC0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55DC0" w:rsidRDefault="00FB5120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855DC0" w:rsidRDefault="00855DC0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855DC0" w:rsidRDefault="00855DC0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DC0" w:rsidRDefault="00855DC0"/>
          <w:p w:rsidR="00855DC0" w:rsidRDefault="00855DC0"/>
          <w:p w:rsidR="00855DC0" w:rsidRDefault="00FB512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DA5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35pt;height:78.5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51711352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DC0" w:rsidRDefault="00FB51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855DC0" w:rsidRDefault="00855DC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5DC0" w:rsidRDefault="00FB51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55DC0" w:rsidRDefault="00FB51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855DC0" w:rsidRDefault="00FB51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855DC0" w:rsidRDefault="00855DC0">
            <w:pPr>
              <w:jc w:val="center"/>
              <w:rPr>
                <w:sz w:val="28"/>
                <w:szCs w:val="28"/>
              </w:rPr>
            </w:pPr>
          </w:p>
          <w:p w:rsidR="00855DC0" w:rsidRDefault="00FB5120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855DC0" w:rsidRDefault="00855DC0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855DC0" w:rsidRPr="00FB5120" w:rsidRDefault="00FB5120" w:rsidP="00FB5120">
      <w:pPr>
        <w:jc w:val="center"/>
        <w:rPr>
          <w:sz w:val="24"/>
          <w:szCs w:val="24"/>
        </w:rPr>
      </w:pPr>
      <w:r w:rsidRPr="00FB5120">
        <w:rPr>
          <w:sz w:val="24"/>
          <w:szCs w:val="24"/>
        </w:rPr>
        <w:t>21.07.2023</w:t>
      </w:r>
      <w:r w:rsidRPr="00FB5120">
        <w:rPr>
          <w:sz w:val="24"/>
          <w:szCs w:val="24"/>
        </w:rPr>
        <w:t xml:space="preserve"> № 1143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55DC0" w:rsidRPr="00FB5120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DC0" w:rsidRPr="00FB5120" w:rsidRDefault="00855DC0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855DC0" w:rsidRPr="00FB5120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55DC0" w:rsidRPr="00FB5120" w:rsidRDefault="00FB5120">
            <w:pPr>
              <w:jc w:val="both"/>
              <w:rPr>
                <w:b/>
                <w:sz w:val="24"/>
                <w:szCs w:val="24"/>
              </w:rPr>
            </w:pPr>
            <w:r w:rsidRPr="00FB5120">
              <w:rPr>
                <w:b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11.01.2013 № 10</w:t>
            </w:r>
          </w:p>
        </w:tc>
      </w:tr>
    </w:tbl>
    <w:p w:rsidR="00855DC0" w:rsidRPr="00FB5120" w:rsidRDefault="00855DC0">
      <w:pPr>
        <w:jc w:val="both"/>
        <w:rPr>
          <w:sz w:val="24"/>
          <w:szCs w:val="24"/>
        </w:rPr>
      </w:pPr>
    </w:p>
    <w:p w:rsidR="00855DC0" w:rsidRPr="00FB5120" w:rsidRDefault="00FB5120">
      <w:pPr>
        <w:jc w:val="both"/>
        <w:rPr>
          <w:sz w:val="24"/>
          <w:szCs w:val="24"/>
        </w:rPr>
      </w:pPr>
      <w:r w:rsidRPr="00FB5120">
        <w:rPr>
          <w:sz w:val="24"/>
          <w:szCs w:val="24"/>
        </w:rPr>
        <w:tab/>
        <w:t>Р</w:t>
      </w:r>
      <w:r w:rsidRPr="00FB5120">
        <w:rPr>
          <w:sz w:val="24"/>
          <w:szCs w:val="24"/>
        </w:rPr>
        <w:t>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855DC0" w:rsidRPr="00FB5120" w:rsidRDefault="00FB5120">
      <w:pPr>
        <w:jc w:val="both"/>
        <w:rPr>
          <w:sz w:val="24"/>
          <w:szCs w:val="24"/>
        </w:rPr>
      </w:pPr>
      <w:r w:rsidRPr="00FB5120">
        <w:rPr>
          <w:sz w:val="24"/>
          <w:szCs w:val="24"/>
        </w:rPr>
        <w:tab/>
        <w:t>1. Внести в Административный регламент администрации города Новочебоксарска по предоставлению м</w:t>
      </w:r>
      <w:r w:rsidRPr="00FB5120">
        <w:rPr>
          <w:sz w:val="24"/>
          <w:szCs w:val="24"/>
        </w:rPr>
        <w:t xml:space="preserve">униципальной услуги «Предоставление жилых помещений малоимущим гражданам по договорам социального найма», утвержденный постановлением администрации города Новочебоксарска Чувашской Республики от 11 января 2013 </w:t>
      </w:r>
      <w:bookmarkStart w:id="0" w:name="_GoBack"/>
      <w:bookmarkEnd w:id="0"/>
      <w:r w:rsidRPr="00FB5120">
        <w:rPr>
          <w:sz w:val="24"/>
          <w:szCs w:val="24"/>
        </w:rPr>
        <w:t>года №</w:t>
      </w:r>
      <w:r w:rsidRPr="00FB5120">
        <w:rPr>
          <w:sz w:val="24"/>
          <w:szCs w:val="24"/>
        </w:rPr>
        <w:t xml:space="preserve"> 10 следующие изменения: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- пункт 3.4. и</w:t>
      </w:r>
      <w:r w:rsidRPr="00FB5120">
        <w:rPr>
          <w:sz w:val="24"/>
          <w:szCs w:val="24"/>
        </w:rPr>
        <w:t>зложить в следующей редакции:</w:t>
      </w:r>
    </w:p>
    <w:p w:rsidR="00855DC0" w:rsidRPr="00FB5120" w:rsidRDefault="00FB5120">
      <w:pPr>
        <w:ind w:firstLine="708"/>
        <w:jc w:val="both"/>
        <w:rPr>
          <w:b/>
          <w:sz w:val="24"/>
          <w:szCs w:val="24"/>
        </w:rPr>
      </w:pPr>
      <w:r w:rsidRPr="00FB5120">
        <w:rPr>
          <w:sz w:val="24"/>
          <w:szCs w:val="24"/>
        </w:rPr>
        <w:t>«</w:t>
      </w:r>
      <w:r w:rsidRPr="00FB5120">
        <w:rPr>
          <w:b/>
          <w:sz w:val="24"/>
          <w:szCs w:val="24"/>
        </w:rPr>
        <w:t>3.4. Установление нуждаемости и подтверждение статуса малоимущих.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По представленным и полученным в результате межуровневого и межведомственного взаимодействия документам специалист уполномоченного структурного подразделения д</w:t>
      </w:r>
      <w:r w:rsidRPr="00FB5120">
        <w:rPr>
          <w:sz w:val="24"/>
          <w:szCs w:val="24"/>
        </w:rPr>
        <w:t>елает заключение о наличии нуждаемости в получении жилого помещения и производит расчет для установления статуса малоимущего.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Граждане признаются малоимущими в целях предоставления жилых помещений муниципального жилищного фонда по договорам социального най</w:t>
      </w:r>
      <w:r w:rsidRPr="00FB5120">
        <w:rPr>
          <w:sz w:val="24"/>
          <w:szCs w:val="24"/>
        </w:rPr>
        <w:t>ма исходя из средней рыночной стоимости жилого помещения в городе Новочебоксарске, стоимости имущества, находящегося в собственности членов семьи, подлежащего налогообложению и учитываемого при отнесении граждан к категории малоимущих, размера среднемесячн</w:t>
      </w:r>
      <w:r w:rsidRPr="00FB5120">
        <w:rPr>
          <w:sz w:val="24"/>
          <w:szCs w:val="24"/>
        </w:rPr>
        <w:t>ого совокупного дохода семьи и возможности приобретения жилого помещения по норме предоставления по средней рыночной стоимости в городе Новочебоксарске с помо</w:t>
      </w:r>
      <w:r w:rsidRPr="00FB5120">
        <w:rPr>
          <w:sz w:val="24"/>
          <w:szCs w:val="24"/>
        </w:rPr>
        <w:lastRenderedPageBreak/>
        <w:t>щью ипотечного кредита на строительство (приобретение) жилья и накопления средств для приобретения</w:t>
      </w:r>
      <w:r w:rsidRPr="00FB5120">
        <w:rPr>
          <w:sz w:val="24"/>
          <w:szCs w:val="24"/>
        </w:rPr>
        <w:t xml:space="preserve"> жилого помещения по  норме предоставления за десять лет.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Уполномоченное структурное подразделение рассчитывает среднюю рыночную стоимость жилого помещения, которая определяется как произведение нормы предоставления общей площади жилого помещения по догово</w:t>
      </w:r>
      <w:r w:rsidRPr="00FB5120">
        <w:rPr>
          <w:sz w:val="24"/>
          <w:szCs w:val="24"/>
        </w:rPr>
        <w:t>ру социального найма, количества членов семьи и средней рыночной стоимости одного квадратного метра общей площади жилого помещения, установленной в городе Новочебоксарске, по формуле: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  <w:lang w:val="en-US"/>
        </w:rPr>
        <w:t>C</w:t>
      </w:r>
      <w:r w:rsidRPr="00FB5120">
        <w:rPr>
          <w:sz w:val="24"/>
          <w:szCs w:val="24"/>
        </w:rPr>
        <w:t>Ж = НП х КС х РС, где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СЖ – средняя рыночная стоимость жилого помещения;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НП – норма предоставления общей площади жилого помещения;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КС – количество членов семьи;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РС – средняя рыночная стоимость одного квадратного метра общей площади жилого помещения, установленная в городе Новочебоксарске.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Если сумма стоимости имущества, находя</w:t>
      </w:r>
      <w:r w:rsidRPr="00FB5120">
        <w:rPr>
          <w:sz w:val="24"/>
          <w:szCs w:val="24"/>
        </w:rPr>
        <w:t>щегося в собственности заявителя и членов его семьи, и размера ипотечного кредита, определяемая администрацией города, больше величины средней рыночной стоимости жилого помещения, то гражданин не может быть признан малоимущим.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Если у заявителя, исходя из с</w:t>
      </w:r>
      <w:r w:rsidRPr="00FB5120">
        <w:rPr>
          <w:sz w:val="24"/>
          <w:szCs w:val="24"/>
        </w:rPr>
        <w:t xml:space="preserve">реднемесячного совокупного дохода семьи, не имеется возможности получения ипотечного кредита на сумму недостающих средств для приобретения жилого помещения, рассматривается возможность накопления суммы недостающих средств для приобретения жилого помещения </w:t>
      </w:r>
      <w:r w:rsidRPr="00FB5120">
        <w:rPr>
          <w:sz w:val="24"/>
          <w:szCs w:val="24"/>
        </w:rPr>
        <w:t>за вычетом прожиточного минимума за десять лет по формуле: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РН = (СД – (ПМ х КС) х 10 х 12, где: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РН – размер возможного накопления недостающих средств для приобретения жилого помещения;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СДС – размер среднемесячного совокупного дохода семьи, который определя</w:t>
      </w:r>
      <w:r w:rsidRPr="00FB5120">
        <w:rPr>
          <w:sz w:val="24"/>
          <w:szCs w:val="24"/>
        </w:rPr>
        <w:t>ется как сумма среднемесячных доходов каждого члена семьи.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Среднемесячный размер дохода, приходящегося на каждого члена семьи, исчисляется путем деления суммы его доходов, полученных в течение расчетного периода, на число месяцев в расчетном периоде.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 xml:space="preserve">Если гражданин, находящийся в трудоспособном возрасте, не в состоянии подтвердить свои доходы в месяцах расчетного периода и не находится в отпуске по уходу за ребенком, не является получателем пенсии по </w:t>
      </w:r>
      <w:r w:rsidRPr="00FB5120">
        <w:rPr>
          <w:sz w:val="24"/>
          <w:szCs w:val="24"/>
        </w:rPr>
        <w:lastRenderedPageBreak/>
        <w:t xml:space="preserve">инвалидности, обучающимся по очной форме обучения в </w:t>
      </w:r>
      <w:r w:rsidRPr="00FB5120">
        <w:rPr>
          <w:sz w:val="24"/>
          <w:szCs w:val="24"/>
        </w:rPr>
        <w:t>образовательной организации, военнослужащим, проходящим службу по призыву в Вооруженных Силах Российской Федерации, доход за указанные месяцы определяется исходя из размера средней заработной платы по Чувашской Республике за отчетный период, предшествующий</w:t>
      </w:r>
      <w:r w:rsidRPr="00FB5120">
        <w:rPr>
          <w:sz w:val="24"/>
          <w:szCs w:val="24"/>
        </w:rPr>
        <w:t xml:space="preserve"> расчетному периоду;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ПМ – прожиточный минимум на душу населения в целом по Чувашской Республике;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10 х 12 – период накопления (количество лет, умноженное на количество месяцев в году).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Если сумма стоимости имущества, находящегося в собственности заявителя и</w:t>
      </w:r>
      <w:r w:rsidRPr="00FB5120">
        <w:rPr>
          <w:sz w:val="24"/>
          <w:szCs w:val="24"/>
        </w:rPr>
        <w:t xml:space="preserve"> членов его семьи,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стоимости, то гражданин не может быть признан малоимущим.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Учет доходов и стоимости имущ</w:t>
      </w:r>
      <w:r w:rsidRPr="00FB5120">
        <w:rPr>
          <w:sz w:val="24"/>
          <w:szCs w:val="24"/>
        </w:rPr>
        <w:t>ества граждан определяется за расчетный период, равный одному календарному году, непосредственно предшествующему месяцу подачи Заявления.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В качестве средней рыночной стоимости одного квадратного метра жилого помещения принимаются данные, устанавливаемые пр</w:t>
      </w:r>
      <w:r w:rsidRPr="00FB5120">
        <w:rPr>
          <w:sz w:val="24"/>
          <w:szCs w:val="24"/>
        </w:rPr>
        <w:t>иказом Министерства строительства и жилищно-коммунального хозяйства Российской Федерации.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В качестве размера средней заработной платы по Чувашской Республике принимаются показатели социально-экономического развития Чувашской Республики по кварталам Министе</w:t>
      </w:r>
      <w:r w:rsidRPr="00FB5120">
        <w:rPr>
          <w:sz w:val="24"/>
          <w:szCs w:val="24"/>
        </w:rPr>
        <w:t>рства экономического развития и</w:t>
      </w:r>
      <w:r w:rsidRPr="00FB5120">
        <w:rPr>
          <w:sz w:val="24"/>
          <w:szCs w:val="24"/>
        </w:rPr>
        <w:t xml:space="preserve"> имущественных отношений Чувашской Республики.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Для определения стоимости имущества – зданий сооружений, жилых и нежилых помещений – используется их кадастровая стоимость.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Для определения стоимости транспортных средств исполь</w:t>
      </w:r>
      <w:r w:rsidRPr="00FB5120">
        <w:rPr>
          <w:sz w:val="24"/>
          <w:szCs w:val="24"/>
        </w:rPr>
        <w:t>зуется их рыночная стоимость, определяемая в соответствии с законодательством Российской Федерации.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Для определения стоимости земельных участков используется их кадастровая стоимость, а в случаях, когда такая стоимость не определена, - нормативная цена зем</w:t>
      </w:r>
      <w:r w:rsidRPr="00FB5120">
        <w:rPr>
          <w:sz w:val="24"/>
          <w:szCs w:val="24"/>
        </w:rPr>
        <w:t>ли.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Размер денежных средств, находящихся на счетах в банках и других кредитных организациях, учитывается на основании представленных заявителем сведений.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lastRenderedPageBreak/>
        <w:t>Если имущество, признаваемое объектом налогообложения, находится в общей собственности нескольких граж</w:t>
      </w:r>
      <w:r w:rsidRPr="00FB5120">
        <w:rPr>
          <w:sz w:val="24"/>
          <w:szCs w:val="24"/>
        </w:rPr>
        <w:t>дан или в общей собственности граждан и юридических лиц, то при отнесении заявителя к категории малоимущих учету подлежит имущество, в отношении которого плательщиком налога является заявитель и (или) члены его семьи в соответствии с законодательством Росс</w:t>
      </w:r>
      <w:r w:rsidRPr="00FB5120">
        <w:rPr>
          <w:sz w:val="24"/>
          <w:szCs w:val="24"/>
        </w:rPr>
        <w:t>ийской Федерации.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Если в течении расчетного периода гражданами было продано имущество, входящее в перечень имущества, подлежащего налогообложению и учитываемого при признании граждан малоимущими, стоимость проданного имущества учитывается как имеющееся в н</w:t>
      </w:r>
      <w:r w:rsidRPr="00FB5120">
        <w:rPr>
          <w:sz w:val="24"/>
          <w:szCs w:val="24"/>
        </w:rPr>
        <w:t>аличии в течение расчетного периода за исключением вынужденной продажи (оплата медицинских услуг, дорогостоящих лекарственных препаратов), подтвержденной соответствующими документами, представляемыми заявителем.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При расчете размера дохода, приходящегося на</w:t>
      </w:r>
      <w:r w:rsidRPr="00FB5120">
        <w:rPr>
          <w:sz w:val="24"/>
          <w:szCs w:val="24"/>
        </w:rPr>
        <w:t xml:space="preserve">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доходы, учитываются в объеме, остающемся после уплаты налогов и сборов в соответствии с законодат</w:t>
      </w:r>
      <w:r w:rsidRPr="00FB5120">
        <w:rPr>
          <w:sz w:val="24"/>
          <w:szCs w:val="24"/>
        </w:rPr>
        <w:t>ельством Российской Федерации.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распоряжения администрации города,  если стоимость имущества, находящегося в</w:t>
      </w:r>
      <w:r w:rsidRPr="00FB5120">
        <w:rPr>
          <w:sz w:val="24"/>
          <w:szCs w:val="24"/>
        </w:rPr>
        <w:t xml:space="preserve"> собственности членов семьи, подлежащего налогообложению м учитываемого при отнесении граждан к категории малоимущих, и размер вероятного ипотечного кредита, определяемый исходя из среднемесячного совокупного дохода семьи, не позволяют приобрести жилое пом</w:t>
      </w:r>
      <w:r w:rsidRPr="00FB5120">
        <w:rPr>
          <w:sz w:val="24"/>
          <w:szCs w:val="24"/>
        </w:rPr>
        <w:t>ещение по норме предоставления по средней рыночной стоимости в городе Новочебоксарске и если стоимость имущества, находящегося в собственности членов семьи, подлежащего налогообложению и учитываемого при отнесении граждан к категории малоимущих, и среднеме</w:t>
      </w:r>
      <w:r w:rsidRPr="00FB5120">
        <w:rPr>
          <w:sz w:val="24"/>
          <w:szCs w:val="24"/>
        </w:rPr>
        <w:t>сячный совокупный доход семьи за десять лет за вычетом прожиточного минимума не позволяют накопить средства для приобретения жилого помещения по норме предоставления.»</w:t>
      </w:r>
    </w:p>
    <w:p w:rsidR="00855DC0" w:rsidRPr="00FB5120" w:rsidRDefault="00FB5120">
      <w:pPr>
        <w:ind w:firstLine="708"/>
        <w:jc w:val="both"/>
        <w:rPr>
          <w:sz w:val="24"/>
          <w:szCs w:val="24"/>
        </w:rPr>
      </w:pPr>
      <w:r w:rsidRPr="00FB5120">
        <w:rPr>
          <w:sz w:val="24"/>
          <w:szCs w:val="24"/>
        </w:rPr>
        <w:t>2. Сектору пресс-службы администрации города Новочебоксарска Чувашской Республики обеспе</w:t>
      </w:r>
      <w:r w:rsidRPr="00FB5120">
        <w:rPr>
          <w:sz w:val="24"/>
          <w:szCs w:val="24"/>
        </w:rPr>
        <w:t xml:space="preserve">чить опубликование настоящего постановления в печатных </w:t>
      </w:r>
      <w:r w:rsidRPr="00FB5120">
        <w:rPr>
          <w:sz w:val="24"/>
          <w:szCs w:val="24"/>
        </w:rPr>
        <w:lastRenderedPageBreak/>
        <w:t>средствах массовой информации в порядке, установленном для официального опубликования муниципальных правовых актов.</w:t>
      </w:r>
    </w:p>
    <w:p w:rsidR="00855DC0" w:rsidRPr="00FB5120" w:rsidRDefault="00FB5120">
      <w:pPr>
        <w:jc w:val="both"/>
        <w:rPr>
          <w:sz w:val="24"/>
          <w:szCs w:val="24"/>
        </w:rPr>
      </w:pPr>
      <w:r w:rsidRPr="00FB5120">
        <w:rPr>
          <w:sz w:val="24"/>
          <w:szCs w:val="24"/>
        </w:rPr>
        <w:tab/>
        <w:t xml:space="preserve">3. Контроль за исполнением настоящего постановления </w:t>
      </w:r>
      <w:r w:rsidRPr="00FB5120">
        <w:rPr>
          <w:sz w:val="24"/>
          <w:szCs w:val="24"/>
        </w:rPr>
        <w:t>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855DC0" w:rsidRPr="00FB5120" w:rsidRDefault="00FB5120">
      <w:pPr>
        <w:jc w:val="both"/>
        <w:rPr>
          <w:sz w:val="24"/>
          <w:szCs w:val="24"/>
        </w:rPr>
      </w:pPr>
      <w:r w:rsidRPr="00FB5120">
        <w:rPr>
          <w:sz w:val="24"/>
          <w:szCs w:val="24"/>
        </w:rPr>
        <w:tab/>
        <w:t xml:space="preserve">4. Настоящее постановление вступает в силу после его официального опубликования.                                </w:t>
      </w:r>
      <w:r w:rsidRPr="00FB5120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55DC0" w:rsidRDefault="00FB5120">
      <w:pPr>
        <w:tabs>
          <w:tab w:val="left" w:pos="2618"/>
        </w:tabs>
        <w:jc w:val="both"/>
        <w:rPr>
          <w:sz w:val="24"/>
          <w:szCs w:val="24"/>
        </w:rPr>
      </w:pPr>
      <w:r w:rsidRPr="00FB5120">
        <w:rPr>
          <w:sz w:val="24"/>
          <w:szCs w:val="24"/>
        </w:rPr>
        <w:t xml:space="preserve">                 </w:t>
      </w:r>
    </w:p>
    <w:p w:rsidR="00FB5120" w:rsidRPr="00FB5120" w:rsidRDefault="00FB5120">
      <w:pPr>
        <w:tabs>
          <w:tab w:val="left" w:pos="2618"/>
        </w:tabs>
        <w:jc w:val="both"/>
        <w:rPr>
          <w:sz w:val="24"/>
          <w:szCs w:val="24"/>
        </w:rPr>
      </w:pPr>
    </w:p>
    <w:p w:rsidR="00855DC0" w:rsidRPr="00FB5120" w:rsidRDefault="00FB5120">
      <w:pPr>
        <w:tabs>
          <w:tab w:val="left" w:pos="2618"/>
        </w:tabs>
        <w:jc w:val="both"/>
        <w:rPr>
          <w:sz w:val="24"/>
          <w:szCs w:val="24"/>
        </w:rPr>
      </w:pPr>
      <w:r w:rsidRPr="00FB5120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B5120">
        <w:rPr>
          <w:sz w:val="24"/>
          <w:szCs w:val="24"/>
        </w:rPr>
        <w:t xml:space="preserve">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55DC0" w:rsidRPr="00FB5120">
        <w:trPr>
          <w:trHeight w:val="781"/>
        </w:trPr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DC0" w:rsidRPr="00FB5120" w:rsidRDefault="00FB5120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  <w:r w:rsidRPr="00FB5120">
              <w:rPr>
                <w:sz w:val="24"/>
                <w:szCs w:val="24"/>
              </w:rPr>
              <w:t>И.о. главы администрации</w:t>
            </w:r>
          </w:p>
          <w:p w:rsidR="00855DC0" w:rsidRPr="00FB5120" w:rsidRDefault="00FB5120">
            <w:pPr>
              <w:tabs>
                <w:tab w:val="left" w:pos="2618"/>
              </w:tabs>
              <w:ind w:firstLine="187"/>
              <w:rPr>
                <w:sz w:val="24"/>
                <w:szCs w:val="24"/>
              </w:rPr>
            </w:pPr>
            <w:r w:rsidRPr="00FB5120">
              <w:rPr>
                <w:sz w:val="24"/>
                <w:szCs w:val="24"/>
              </w:rPr>
              <w:t>города Новочебоксарска</w:t>
            </w:r>
            <w:r w:rsidRPr="00FB5120">
              <w:rPr>
                <w:sz w:val="24"/>
                <w:szCs w:val="24"/>
              </w:rPr>
              <w:tab/>
            </w:r>
          </w:p>
          <w:p w:rsidR="00855DC0" w:rsidRPr="00FB5120" w:rsidRDefault="00FB5120">
            <w:pPr>
              <w:tabs>
                <w:tab w:val="left" w:pos="2618"/>
              </w:tabs>
              <w:ind w:firstLine="187"/>
              <w:jc w:val="both"/>
              <w:rPr>
                <w:sz w:val="24"/>
                <w:szCs w:val="24"/>
              </w:rPr>
            </w:pPr>
            <w:r w:rsidRPr="00FB5120">
              <w:rPr>
                <w:sz w:val="24"/>
                <w:szCs w:val="24"/>
              </w:rPr>
              <w:t xml:space="preserve">Чувашской Республики       </w:t>
            </w:r>
            <w:r w:rsidRPr="00FB5120">
              <w:rPr>
                <w:sz w:val="24"/>
                <w:szCs w:val="24"/>
              </w:rPr>
              <w:tab/>
              <w:t xml:space="preserve">                   </w:t>
            </w:r>
            <w:r w:rsidRPr="00FB5120">
              <w:rPr>
                <w:sz w:val="24"/>
                <w:szCs w:val="24"/>
              </w:rPr>
              <w:tab/>
              <w:t xml:space="preserve">             </w:t>
            </w:r>
            <w:r w:rsidRPr="00FB5120">
              <w:rPr>
                <w:sz w:val="24"/>
                <w:szCs w:val="24"/>
              </w:rPr>
              <w:tab/>
              <w:t xml:space="preserve">                 Е.Ю. Дмитриев</w:t>
            </w:r>
          </w:p>
          <w:p w:rsidR="00855DC0" w:rsidRPr="00FB5120" w:rsidRDefault="00855DC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855DC0" w:rsidRPr="00FB5120" w:rsidRDefault="00855DC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855DC0" w:rsidRPr="00FB5120" w:rsidRDefault="00855DC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855DC0" w:rsidRPr="00FB5120" w:rsidRDefault="00FB5120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FB5120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FB512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855DC0" w:rsidRPr="00FB5120" w:rsidRDefault="00FB5120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FB5120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FB5120">
              <w:rPr>
                <w:sz w:val="24"/>
                <w:szCs w:val="24"/>
              </w:rPr>
              <w:t xml:space="preserve">      </w:t>
            </w:r>
          </w:p>
          <w:p w:rsidR="00855DC0" w:rsidRPr="00FB5120" w:rsidRDefault="00855DC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</w:tc>
      </w:tr>
      <w:tr w:rsidR="00855DC0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DC0" w:rsidRDefault="00FB5120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55DC0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DC0" w:rsidRDefault="00855DC0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  <w:tr w:rsidR="00855DC0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DC0" w:rsidRDefault="00855DC0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855DC0" w:rsidRDefault="00855DC0">
      <w:pPr>
        <w:rPr>
          <w:sz w:val="24"/>
          <w:szCs w:val="24"/>
        </w:rPr>
      </w:pPr>
    </w:p>
    <w:p w:rsidR="00855DC0" w:rsidRDefault="00855DC0">
      <w:pPr>
        <w:rPr>
          <w:sz w:val="24"/>
          <w:szCs w:val="24"/>
        </w:rPr>
      </w:pPr>
    </w:p>
    <w:p w:rsidR="00855DC0" w:rsidRDefault="00FB5120">
      <w:pPr>
        <w:pStyle w:val="1"/>
        <w:spacing w:before="0"/>
        <w:ind w:right="57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855DC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C0" w:rsidRDefault="00FB5120">
      <w:r>
        <w:separator/>
      </w:r>
    </w:p>
  </w:endnote>
  <w:endnote w:type="continuationSeparator" w:id="0">
    <w:p w:rsidR="00855DC0" w:rsidRDefault="00FB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C0" w:rsidRDefault="00FB5120">
      <w:r>
        <w:separator/>
      </w:r>
    </w:p>
  </w:footnote>
  <w:footnote w:type="continuationSeparator" w:id="0">
    <w:p w:rsidR="00855DC0" w:rsidRDefault="00FB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C0" w:rsidRDefault="00FB5120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A5B"/>
    <w:multiLevelType w:val="hybridMultilevel"/>
    <w:tmpl w:val="81E2203E"/>
    <w:lvl w:ilvl="0" w:tplc="3CB0AFCE">
      <w:start w:val="1"/>
      <w:numFmt w:val="decimal"/>
      <w:lvlText w:val="%1."/>
      <w:lvlJc w:val="left"/>
      <w:pPr>
        <w:ind w:left="1065" w:hanging="360"/>
      </w:pPr>
    </w:lvl>
    <w:lvl w:ilvl="1" w:tplc="F1D4F2FE">
      <w:start w:val="1"/>
      <w:numFmt w:val="lowerLetter"/>
      <w:lvlText w:val="%2."/>
      <w:lvlJc w:val="left"/>
      <w:pPr>
        <w:ind w:left="1785" w:hanging="360"/>
      </w:pPr>
    </w:lvl>
    <w:lvl w:ilvl="2" w:tplc="9976E414">
      <w:start w:val="1"/>
      <w:numFmt w:val="lowerRoman"/>
      <w:lvlText w:val="%3."/>
      <w:lvlJc w:val="right"/>
      <w:pPr>
        <w:ind w:left="2505" w:hanging="180"/>
      </w:pPr>
    </w:lvl>
    <w:lvl w:ilvl="3" w:tplc="5EC2B942">
      <w:start w:val="1"/>
      <w:numFmt w:val="decimal"/>
      <w:lvlText w:val="%4."/>
      <w:lvlJc w:val="left"/>
      <w:pPr>
        <w:ind w:left="3225" w:hanging="360"/>
      </w:pPr>
    </w:lvl>
    <w:lvl w:ilvl="4" w:tplc="A98612AA">
      <w:start w:val="1"/>
      <w:numFmt w:val="lowerLetter"/>
      <w:lvlText w:val="%5."/>
      <w:lvlJc w:val="left"/>
      <w:pPr>
        <w:ind w:left="3945" w:hanging="360"/>
      </w:pPr>
    </w:lvl>
    <w:lvl w:ilvl="5" w:tplc="6CEC0C8C">
      <w:start w:val="1"/>
      <w:numFmt w:val="lowerRoman"/>
      <w:lvlText w:val="%6."/>
      <w:lvlJc w:val="right"/>
      <w:pPr>
        <w:ind w:left="4665" w:hanging="180"/>
      </w:pPr>
    </w:lvl>
    <w:lvl w:ilvl="6" w:tplc="DAF450DE">
      <w:start w:val="1"/>
      <w:numFmt w:val="decimal"/>
      <w:lvlText w:val="%7."/>
      <w:lvlJc w:val="left"/>
      <w:pPr>
        <w:ind w:left="5385" w:hanging="360"/>
      </w:pPr>
    </w:lvl>
    <w:lvl w:ilvl="7" w:tplc="BC2A1BF2">
      <w:start w:val="1"/>
      <w:numFmt w:val="lowerLetter"/>
      <w:lvlText w:val="%8."/>
      <w:lvlJc w:val="left"/>
      <w:pPr>
        <w:ind w:left="6105" w:hanging="360"/>
      </w:pPr>
    </w:lvl>
    <w:lvl w:ilvl="8" w:tplc="566A7542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CF7AB3"/>
    <w:multiLevelType w:val="hybridMultilevel"/>
    <w:tmpl w:val="CAA23FAE"/>
    <w:lvl w:ilvl="0" w:tplc="7ADA96DE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70F6048C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D59682FA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145EBB3C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7200C8EC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9B1C0574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836C2B6C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2A2E8EE0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A1C6B722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C0"/>
    <w:rsid w:val="00855DC0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2D0E62"/>
  <w15:docId w15:val="{8DD9999C-3DF3-42F8-94AA-F0B8018B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1397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nowch-doc9</dc:creator>
  <cp:lastModifiedBy>nowch-doc9</cp:lastModifiedBy>
  <cp:revision>2</cp:revision>
  <dcterms:created xsi:type="dcterms:W3CDTF">2023-07-24T10:43:00Z</dcterms:created>
  <dcterms:modified xsi:type="dcterms:W3CDTF">2023-07-24T10:43:00Z</dcterms:modified>
</cp:coreProperties>
</file>