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282" w:firstLine="709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right="282" w:firstLine="709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Муниципальные служащие.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7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муниципальной службы в администрации Ядринского муниципального округа Чувашской Республики, обязанных представить сведения о доходах, об имуществе и обязательствах имущественного характера за отчетный 2023 год, данная обязанность исполнена всеми 7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должностными лицами.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>
      <w:pPr>
        <w:pStyle w:val="Normal"/>
        <w:tabs>
          <w:tab w:val="clear" w:pos="708"/>
          <w:tab w:val="left" w:pos="426" w:leader="none"/>
          <w:tab w:val="left" w:pos="9072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2">
        <w:r>
          <w:rPr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50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unhideWhenUsed/>
    <w:rsid w:val="005a5506"/>
    <w:rPr>
      <w:color w:val="0563C1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LibreOffice/7.0.3.1$Windows_X86_64 LibreOffice_project/d7547858d014d4cf69878db179d326fc3483e082</Application>
  <Pages>1</Pages>
  <Words>128</Words>
  <Characters>1010</Characters>
  <CharactersWithSpaces>1135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2023-05-03T07:09:00Z</dcterms:created>
  <dc:creator>АГЧР Федоров Михаил Львович</dc:creator>
  <dc:description/>
  <dc:language>ru-RU</dc:language>
  <cp:lastModifiedBy/>
  <dcterms:modified xsi:type="dcterms:W3CDTF">2024-05-14T13:37:56Z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