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>
        <w:rPr>
          <w:b/>
        </w:rPr>
        <w:t xml:space="preserve">Годовой отчет </w:t>
      </w:r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>
        <w:rPr>
          <w:b/>
        </w:rPr>
        <w:t xml:space="preserve">Муниципальная программа города Канаш Чувашской Республики «Формирование современной городской среды на территории города Канаш Чувашской Республики»</w:t>
      </w:r>
      <w:r>
        <w:rPr>
          <w:b/>
        </w:rPr>
        <w:t xml:space="preserve"> </w:t>
      </w:r>
      <w:r>
        <w:rPr>
          <w:b/>
        </w:rPr>
        <w:t xml:space="preserve">  </w:t>
      </w:r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/>
      <w:r/>
    </w:p>
    <w:p>
      <w:pPr>
        <w:pStyle w:val="851"/>
      </w:pPr>
      <w:r>
        <w:t xml:space="preserve">Отдел строительства администрации города Канаш</w:t>
      </w:r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  <w:jc w:val="center"/>
      </w:pPr>
      <w:r/>
      <w:r/>
    </w:p>
    <w:p>
      <w:pPr>
        <w:pStyle w:val="851"/>
      </w:pPr>
      <w:r/>
      <w:r/>
    </w:p>
    <w:p>
      <w:pPr>
        <w:pStyle w:val="851"/>
        <w:jc w:val="center"/>
      </w:pPr>
      <w:r>
        <w:t xml:space="preserve">2022 год</w:t>
      </w:r>
      <w:r/>
    </w:p>
    <w:p>
      <w:pPr>
        <w:pStyle w:val="850"/>
        <w:numPr>
          <w:ilvl w:val="0"/>
          <w:numId w:val="2"/>
        </w:num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«Формирование современной городской среды на территории гор</w:t>
      </w:r>
      <w:r>
        <w:rPr>
          <w:rFonts w:ascii="Times New Roman" w:hAnsi="Times New Roman" w:cs="Times New Roman"/>
          <w:sz w:val="24"/>
          <w:szCs w:val="24"/>
        </w:rPr>
        <w:t xml:space="preserve">ода Канаш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рограмма) </w:t>
      </w:r>
      <w:r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города Канаш Чувашской Республики от 20.12.2017 г. № 1890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с изменениями от 27.06.2018 г. № 735, от 27.12.2018 г. № 1642, от 30.04.2019 г. № 442, от 11.07.2019 № 720, от 13.04.2020 г. № 304, от 30.10.2020 г.№ 774, от 30.03.2021 г. № 206, от 06.05.2022 г. № 635, от 15.02.2023 г. № 115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Основным разработчиком Программы является отдел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строительства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администрации города Канаш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Чувашской Республики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. 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Целью 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П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рограммы является повышение качества и комфорта городской среды на территории города Канаш Чувашской Республики.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достижения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рамках реализации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рограммы предусматривается решение следующих задач: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формирование комфортной городской среды для жителей города;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создание условий для повышения благоустройства территорий города;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улучшение эстетического облика города;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повышение вовлеченности заинтересованных граждан, организаций в реализацию мероприятий по благоустройству территорий города.</w:t>
      </w:r>
      <w:r/>
    </w:p>
    <w:p>
      <w:pPr>
        <w:contextualSpacing/>
        <w:ind w:firstLine="720"/>
        <w:jc w:val="both"/>
        <w:spacing w:before="225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Программа включает в себя две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подпрограмм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: </w:t>
      </w:r>
      <w:r/>
    </w:p>
    <w:p>
      <w:pPr>
        <w:contextualSpacing/>
        <w:ind w:firstLine="720"/>
        <w:jc w:val="both"/>
        <w:spacing w:after="0" w:line="240" w:lineRule="auto"/>
        <w:shd w:val="clear" w:color="ffffff" w:fill="ffffff"/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«</w:t>
      </w:r>
      <w:hyperlink r:id="rId10" w:tooltip="https://internet.garant.ru/#/document/42546360/entry/10000" w:anchor="/document/42546360/entry/10000" w:history="1">
        <w:r>
          <w:rPr>
            <w:rFonts w:ascii="Times New Roman" w:hAnsi="Times New Roman" w:eastAsia="PT Serif" w:cs="Times New Roman"/>
            <w:color w:val="000000"/>
            <w:sz w:val="24"/>
            <w:szCs w:val="24"/>
            <w:lang w:eastAsia="ar-SA"/>
          </w:rPr>
          <w:t xml:space="preserve">Благоустройство дворовых и общественных территорий</w:t>
        </w:r>
      </w:hyperlink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»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, которая состоит из двух Основных мероприятий:</w:t>
      </w:r>
      <w:r/>
    </w:p>
    <w:p>
      <w:pPr>
        <w:pStyle w:val="850"/>
        <w:numPr>
          <w:ilvl w:val="0"/>
          <w:numId w:val="3"/>
        </w:numPr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«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Содействие благоустройству города Канаш Чувашской Республики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  <w:r/>
    </w:p>
    <w:p>
      <w:pPr>
        <w:pStyle w:val="850"/>
        <w:numPr>
          <w:ilvl w:val="0"/>
          <w:numId w:val="3"/>
        </w:numPr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регионального проекта «Формирование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contextualSpacing/>
        <w:ind w:firstLine="720"/>
        <w:jc w:val="both"/>
        <w:spacing w:after="0" w:line="240" w:lineRule="auto"/>
        <w:shd w:val="clear" w:color="ffffff" w:fill="ffffff"/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- «</w:t>
      </w:r>
      <w:hyperlink r:id="rId11" w:tooltip="https://internet.garant.ru/#/document/42546360/entry/2000" w:anchor="/document/42546360/entry/2000" w:history="1">
        <w:r>
          <w:rPr>
            <w:rFonts w:ascii="Times New Roman" w:hAnsi="Times New Roman" w:eastAsia="PT Serif" w:cs="Times New Roman"/>
            <w:color w:val="000000"/>
            <w:sz w:val="24"/>
            <w:szCs w:val="24"/>
            <w:lang w:eastAsia="ar-SA"/>
          </w:rPr>
          <w:t xml:space="preserve">Обустройство мест массового отдыха населения (городских парков)</w:t>
        </w:r>
      </w:hyperlink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», которая состоит из Основного мероприятия:</w:t>
      </w:r>
      <w:r/>
    </w:p>
    <w:p>
      <w:pPr>
        <w:pStyle w:val="850"/>
        <w:numPr>
          <w:ilvl w:val="0"/>
          <w:numId w:val="4"/>
        </w:numPr>
        <w:jc w:val="both"/>
        <w:spacing w:after="0" w:line="240" w:lineRule="auto"/>
        <w:shd w:val="clear" w:color="ffffff" w:fill="ffffff"/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«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Обустройство мест массового отдыха населения (городского парка)»</w:t>
      </w:r>
      <w:r>
        <w:rPr>
          <w:rFonts w:ascii="Times New Roman" w:hAnsi="Times New Roman" w:eastAsia="PT Serif" w:cs="Times New Roman"/>
          <w:color w:val="000000"/>
          <w:sz w:val="24"/>
          <w:szCs w:val="24"/>
          <w:lang w:eastAsia="ar-SA"/>
        </w:rPr>
        <w:t xml:space="preserve">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Ожидаемые результаты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повышение уровня благоустройства дворовых и общественных территорий города;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создание комфортных условий проживания для населения жителей города;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улучшение эстетического облика города;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улучшение качества жизни горожан;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вовлечение заинтересованных граждан, организаций в реализацию мероприятий по благоустройству территорий города.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Arial"/>
          <w:b/>
          <w:sz w:val="24"/>
          <w:szCs w:val="24"/>
          <w:lang w:eastAsia="ru-RU"/>
        </w:rPr>
        <w:t xml:space="preserve">2.  Основные результаты реализации муниципальн</w:t>
      </w:r>
      <w:r>
        <w:rPr>
          <w:rFonts w:ascii="Times New Roman" w:hAnsi="Times New Roman" w:eastAsia="Times New Roman" w:cs="Arial"/>
          <w:b/>
          <w:sz w:val="24"/>
          <w:szCs w:val="24"/>
          <w:lang w:eastAsia="ru-RU"/>
        </w:rPr>
        <w:t xml:space="preserve">ой программы, достигнутые в 2022</w:t>
      </w:r>
      <w:r>
        <w:rPr>
          <w:rFonts w:ascii="Times New Roman" w:hAnsi="Times New Roman" w:eastAsia="Times New Roman" w:cs="Arial"/>
          <w:b/>
          <w:sz w:val="24"/>
          <w:szCs w:val="24"/>
          <w:lang w:eastAsia="ru-RU"/>
        </w:rPr>
        <w:t xml:space="preserve"> году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Основные результаты реализации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Программы, достигнутые в 2022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году, отражены в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Таблицах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1, 2, 3, 4</w:t>
      </w:r>
      <w:r>
        <w:rPr>
          <w:rFonts w:ascii="Times New Roman" w:hAnsi="Times New Roman" w:eastAsia="Calibri" w:cs="Arial"/>
          <w:sz w:val="24"/>
          <w:szCs w:val="24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Arial"/>
          <w:sz w:val="24"/>
          <w:szCs w:val="24"/>
          <w:lang w:eastAsia="ru-RU"/>
        </w:rPr>
      </w:pPr>
      <w:r>
        <w:rPr>
          <w:rFonts w:ascii="Times New Roman" w:hAnsi="Times New Roman" w:eastAsia="Calibri" w:cs="Arial"/>
          <w:sz w:val="24"/>
          <w:szCs w:val="24"/>
          <w:lang w:eastAsia="ru-RU"/>
        </w:rPr>
      </w:r>
      <w:r/>
    </w:p>
    <w:p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города Канаш Чувашской Республики за 2022 год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15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2222"/>
        <w:gridCol w:w="2608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п</w:t>
            </w:r>
            <w:r>
              <w:rPr>
                <w:sz w:val="20"/>
                <w:szCs w:val="20"/>
              </w:rPr>
              <w:t xml:space="preserve">/</w:t>
            </w:r>
            <w:r>
              <w:rPr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 города Канаш (подпрограммы муниципальной программы города Канаш), основного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выполнении соответствующего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города Канаш Чувашской Республики "Формирование современной городской среды на территории города Канаш Чувашской Республики"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г. Канаш благоустроены 1 общественная и 9 дворовых территорий, установлена 1 межквартальная детская игровая площадка, 4 </w:t>
            </w:r>
            <w:r>
              <w:rPr>
                <w:sz w:val="20"/>
                <w:szCs w:val="20"/>
              </w:rPr>
              <w:t xml:space="preserve">придомовые детские игровые спортивные площадки, а также реализовано 4 </w:t>
            </w:r>
            <w:r>
              <w:rPr>
                <w:sz w:val="20"/>
                <w:szCs w:val="20"/>
              </w:rPr>
              <w:t xml:space="preserve">инициативных проекта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«Благоустройство дворовых и общественных территорий»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2 из 2 запланированных основных мероприятия подпрограммы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Содействие благоустройству города Канаш Чувашской Республики</w:t>
            </w:r>
            <w:r>
              <w:rPr>
                <w:sz w:val="20"/>
                <w:szCs w:val="20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 «Реализация мероприятий регионального проекта «Формирование комфортной городской среды»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Обустройство мест массового отдыха населения (городских парков)</w:t>
            </w:r>
            <w:r>
              <w:rPr>
                <w:sz w:val="20"/>
                <w:szCs w:val="20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2019 года подпрограмма не реализуется на территории города Канаш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Обустройство мест массового отдыха населения (городского парка)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2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</w:t>
      </w:r>
      <w:r/>
    </w:p>
    <w:p>
      <w:pPr>
        <w:pStyle w:val="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города Канаш, подпрограмм муниципальной программы города Канаш Чувашской Республики (программ)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72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71"/>
        <w:gridCol w:w="884"/>
        <w:gridCol w:w="851"/>
        <w:gridCol w:w="850"/>
        <w:gridCol w:w="854"/>
        <w:gridCol w:w="989"/>
        <w:gridCol w:w="1242"/>
        <w:gridCol w:w="1525"/>
        <w:gridCol w:w="17"/>
      </w:tblGrid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N 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Наименование целевого индикатора и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Значения целевых индикаторов и показателей муниципальной программы города Канаш Чувашской Республики, подпрограммы муниципальной программы города  Канаш Чувашской Республики (программы)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Обоснование отклонений значений целевых индикаторов и показателей на конец отчетного года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Значения целевых индикаторов и показателей муниципальной программы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города Канаш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подпрограмма муниципальной программы города Канаш (программы) текущий год (план)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  <w:trHeight w:val="184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6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год, предшествующий отчетному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отчетный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67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8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первоначальный план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уточненный план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8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   Канаш Чувашской Республики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Формирование современной городской среды»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8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и общественных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благоустроенных общественных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 в рамках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 </w:t>
            </w:r>
            <w:hyperlink r:id="rId12" w:tooltip="https://internet.garant.ru/#/document/73064042/entry/0" w:history="1">
              <w:r>
                <w:rPr>
                  <w:rStyle w:val="857"/>
                  <w:rFonts w:ascii="Times New Roman" w:hAnsi="Times New Roman" w:eastAsia="PT Serif" w:cs="Times New Roman"/>
                  <w:color w:val="000000" w:themeColor="text1"/>
                  <w:sz w:val="16"/>
                  <w:szCs w:val="16"/>
                  <w:u w:val="none"/>
                </w:rPr>
                <w:t xml:space="preserve">Указа</w:t>
              </w:r>
            </w:hyperlink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  <w:u w:val="none"/>
              </w:rPr>
              <w:t xml:space="preserve"> 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Главы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финансового участия граждан, организаций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 выполнении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дополнительному перечню видов работ по благоустройству дворовых и общественных территорий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благоустроенных дворовых территорий от общего количества дворовых территорий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финансового участия граждан, организаций в выполнении мероприятий по проектированию и благоустройству дворовых и общественных территорий в рамках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 </w:t>
            </w:r>
            <w:hyperlink r:id="rId13" w:tooltip="https://internet.garant.ru/#/document/73064042/entry/0" w:history="1">
              <w:r>
                <w:rPr>
                  <w:rStyle w:val="857"/>
                  <w:rFonts w:ascii="Times New Roman" w:hAnsi="Times New Roman" w:eastAsia="PT Serif" w:cs="Times New Roman"/>
                  <w:color w:val="000000" w:themeColor="text1"/>
                  <w:sz w:val="16"/>
                  <w:szCs w:val="16"/>
                  <w:u w:val="none"/>
                </w:rPr>
                <w:t xml:space="preserve">Указа</w:t>
              </w:r>
            </w:hyperlink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  <w:u w:val="none"/>
              </w:rPr>
              <w:t xml:space="preserve"> 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Главы Чувашской Республики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финансового участия физических лиц в реализации проектов развития общественной инфраструктуры, основанных на местных инициативах, от общей стоимости проекта.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1.8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1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Доля 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финансового 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участия юридических лиц в реализации проектов развития общественной инфраструктуры, основанных на местных инициативах, от общей стоимости проекта.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мест массового отдыха населения (городских парков)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Количество обустройства мест массового отдыха населения (городских парков)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eastAsia="PT Serif" w:cs="Times New Roman"/>
                <w:color w:val="000000" w:themeColor="text1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</w:t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об использовании бюджетных ассигнований бюджета города Канаш Чувашской Республики на реализацию муниципальной программы города Канаш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tbl>
      <w:tblPr>
        <w:tblW w:w="10572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984"/>
        <w:gridCol w:w="1247"/>
        <w:gridCol w:w="1525"/>
        <w:gridCol w:w="2079"/>
        <w:gridCol w:w="1940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 города Канаш (подпрограммы муниципальной программы города Канаш, программы)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791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тыс. рублей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расходов на отчетный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 за отчетный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расходов с начала реализации муниципальной программы города Канаш (подпрограммы муниципальной программы города Канаш, программы)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 с начала реализации муниципальной программы города Канаш (подпрограммы муниципальной программы города Канаш, программы)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Формирование современной городской среды</w:t>
            </w:r>
            <w:r>
              <w:rPr>
                <w:sz w:val="20"/>
                <w:szCs w:val="20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207073,7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136216,9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99093</w:t>
            </w:r>
            <w:r>
              <w:rPr>
                <w:sz w:val="20"/>
                <w:szCs w:val="20"/>
                <w:highlight w:val="none"/>
              </w:rPr>
              <w:t xml:space="preserve">3,0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574153,8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Благоустройство дворовых и общественных территорий</w:t>
            </w:r>
            <w:r>
              <w:rPr>
                <w:sz w:val="20"/>
                <w:szCs w:val="20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207073,7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136216,9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989845,3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573069,0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797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PT Serif" w:cs="Times New Roman"/>
                <w:color w:val="000000"/>
                <w:sz w:val="20"/>
                <w:szCs w:val="20"/>
                <w:lang w:eastAsia="ar-SA"/>
              </w:rPr>
              <w:t xml:space="preserve">Обустройство мест массового отдыха населения (городских парков)»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7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5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9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1087,7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4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1084,8</w:t>
            </w:r>
            <w:r/>
          </w:p>
        </w:tc>
      </w:tr>
    </w:tbl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/>
    </w:p>
    <w:p>
      <w:pPr>
        <w:ind w:firstLine="709"/>
        <w:jc w:val="right"/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</w:t>
      </w:r>
      <w:r/>
    </w:p>
    <w:p>
      <w:pPr>
        <w:pStyle w:val="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 финансировании реализации муниципальной программы города Канаш Чувашской Республики за счет всех ис</w:t>
      </w:r>
      <w:r>
        <w:rPr>
          <w:rFonts w:ascii="Times New Roman" w:hAnsi="Times New Roman" w:cs="Times New Roman"/>
          <w:b/>
          <w:sz w:val="24"/>
          <w:szCs w:val="24"/>
        </w:rPr>
        <w:t xml:space="preserve">точников финансирования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9526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030"/>
        <w:gridCol w:w="2268"/>
        <w:gridCol w:w="2268"/>
      </w:tblGrid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План, тыс. руб.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Фактические расходы, тыс. руб. 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207073,7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136216,9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17492,9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17492,9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143558,3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79151,6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44667,3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38252,0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1320,4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207073,7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136216,9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17492,9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17492,9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143558,3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79151,6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города Канаш Чувашской Республики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44667,3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38252,0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Merge w:val="continue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0" w:type="dxa"/>
            <w:textDirection w:val="lrTb"/>
            <w:noWrap w:val="false"/>
          </w:tcPr>
          <w:p>
            <w:pPr>
              <w:pStyle w:val="8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1355,2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1320,4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restart"/>
            <w:textDirection w:val="lrTb"/>
            <w:noWrap w:val="false"/>
          </w:tcPr>
          <w:p>
            <w:pPr>
              <w:pStyle w:val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56"/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56"/>
            </w:pPr>
            <w:r>
              <w:rPr>
                <w:sz w:val="20"/>
                <w:szCs w:val="20"/>
              </w:rPr>
              <w:t xml:space="preserve">федеральный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56"/>
            </w:pPr>
            <w:r>
              <w:rPr>
                <w:sz w:val="20"/>
                <w:szCs w:val="20"/>
              </w:rPr>
              <w:t xml:space="preserve">республиканский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56"/>
            </w:pPr>
            <w:r>
              <w:rPr>
                <w:sz w:val="20"/>
                <w:szCs w:val="20"/>
              </w:rPr>
              <w:t xml:space="preserve">бюджет города Канаш Чувашской Республики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56"/>
            </w:pPr>
            <w:r>
              <w:rPr>
                <w:sz w:val="20"/>
                <w:szCs w:val="20"/>
              </w:rPr>
              <w:t xml:space="preserve">внебюджетные источники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доклад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Основные результаты, достигнутые в отчетном году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highlight w:val="none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Мероприятия муниципальной программы в 2022 году выполнены в полном объёме. Ф</w:t>
      </w:r>
      <w:r>
        <w:rPr>
          <w:rFonts w:ascii="Times New Roman" w:hAnsi="Times New Roman" w:cs="Times New Roman"/>
          <w:sz w:val="24"/>
          <w:szCs w:val="24"/>
        </w:rPr>
        <w:t xml:space="preserve">актические расходы за 2022 год, в рамках реализации Программы составили 136 216,9 тыс. рублей, при плане 207 073,7 тыс. руб., в том числе из средств: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федерального бюджета – 17 492, 9 тыс. руб.;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республиканского бюджета – 79 151,6 тыс. руб.;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бюджета города Канаш – 38 252,0 тыс. руб.;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0"/>
        <w:ind w:firstLine="708"/>
        <w:jc w:val="both"/>
        <w:keepLines w:val="0"/>
        <w:keepNext/>
        <w:spacing w:after="0" w:line="240" w:lineRule="auto"/>
        <w:widowControl w:val="off"/>
        <w:rPr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- заинтересованных лиц – 1 320,4 тыс. руб.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firstLine="720"/>
        <w:jc w:val="both"/>
        <w:keepLines w:val="0"/>
        <w:keepNext/>
        <w:spacing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Отклонение запланированных и фактических расходов на реализацию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составило 70856,8 тыс.руб. Причиной такого отклонения является оплата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факту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выполненных работ, а также переходящий остаток для контрактации в 2023 году.</w:t>
      </w:r>
      <w:r/>
    </w:p>
    <w:p>
      <w:pPr>
        <w:contextualSpacing/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Значения целевых индикаторов и показателей Программы,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установленные на 2019 год, достигнуты.</w:t>
      </w:r>
      <w:r>
        <w:rPr>
          <w:rFonts w:ascii="Times New Roman" w:hAnsi="Times New Roman" w:cs="Times New Roman"/>
          <w:sz w:val="24"/>
          <w:szCs w:val="24"/>
        </w:rPr>
        <w:t xml:space="preserve"> Количество благоустроенных дворовых те</w:t>
      </w:r>
      <w:r>
        <w:rPr>
          <w:rFonts w:ascii="Times New Roman" w:hAnsi="Times New Roman" w:cs="Times New Roman"/>
          <w:sz w:val="24"/>
          <w:szCs w:val="24"/>
        </w:rPr>
        <w:t xml:space="preserve">рриторий в сравнении с предыдущим годом увеличилось на 9 единиц или на 5,2 % от общего числа дворовых территорий. Общая доля благоустроенных дворовых территорий за 2022 год увеличилась и составила 20,3% от общего количества дворовых территорий. Количество </w:t>
      </w:r>
      <w:r>
        <w:rPr>
          <w:rFonts w:ascii="Times New Roman" w:hAnsi="Times New Roman" w:cs="Times New Roman"/>
          <w:sz w:val="24"/>
          <w:szCs w:val="24"/>
        </w:rPr>
        <w:t xml:space="preserve">благоустроенных общественных территорий в сравнении с предыдущим годом увеличилось на 1 единицу, как и в предыдущем году. </w:t>
      </w:r>
      <w:r>
        <w:rPr>
          <w:rFonts w:ascii="Times New Roman" w:hAnsi="Times New Roman" w:cs="Times New Roman"/>
          <w:sz w:val="24"/>
          <w:szCs w:val="24"/>
        </w:rPr>
        <w:t xml:space="preserve">Доля финансового участия заинтересованных лиц в выполнении мероприятий по благоустройству дворовых территорий в сравнении с предыдущим годом изменилась и составила 20 % (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дополнительному перечню видов работ).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Программу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изменения вносились один раз постановлением администрации гор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ода Канаш Чувашской Республики № 635 от 06.05.2022 г. в части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объемов финансирования мероприятий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Подпрограммы 1, обоснование объема финансовых ресурсов, необходимых для реализации Программы и Подпрограммы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Перечень видов работ проектов благоустройства дворовых территорий был разделен на два вида: без финансового участия и с финансовым участием заинтересованных лиц.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/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Перечень видов работ проектов благоустройства дворовых территорий без финансового участия заинтересованных лиц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подразделяются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на два приоритетных направления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 xml:space="preserve">:</w:t>
      </w:r>
      <w:r/>
    </w:p>
    <w:p>
      <w:pPr>
        <w:contextualSpacing/>
        <w:ind w:left="0" w:right="0"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первое - минимальный перечень видов работ по благоустройству, в который входят ремонт дворовых проездов, обеспечение освещения дворовых территорий, установка скамеек, урн;</w:t>
      </w:r>
      <w:r/>
    </w:p>
    <w:p>
      <w:pPr>
        <w:contextualSpacing/>
        <w:ind w:left="0" w:right="0"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второе - ремонт тротуаров вдоль дворовых проездов, благоустройство тротуаров, соединяющих дворовые территории с объектами социально-культурной сферы (школами, детскими садами, клубами, фельдшерско-акушерскими пунктами), и ремонт парковок.</w:t>
      </w:r>
      <w:r/>
    </w:p>
    <w:p>
      <w:pPr>
        <w:contextualSpacing/>
        <w:ind w:firstLine="708"/>
        <w:jc w:val="both"/>
        <w:spacing w:after="0" w:line="283" w:lineRule="atLeast"/>
        <w:rPr>
          <w:highlight w:val="none"/>
        </w:rP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Проекты благоустройства могут включать в себя и дополнительный перечень видов работ по благоустройству, к примеру, оборудование детских и (или) спортивных площадок, автомобильных парковок, озеленение территорий, иные виды работ. На такие виды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установлена доля финансового участия заинтересованных лиц в выполнении мероприятий, согласно дополнительному перечню видов работ по благоустройству дворовых территорий, в соотношении 20 процентов за счет средств заинтересованных лиц и 80 процентов за счет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средств бюджета города Канаш</w:t>
      </w:r>
      <w: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Так, ад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министрацией города Канаш Чувашской Республики в Подпрограмме 1 был разработан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города Канаш</w:t>
      </w:r>
      <w:r>
        <w:rPr>
          <w:rFonts w:ascii="Times New Roman" w:hAnsi="Times New Roman" w:cs="Times New Roman"/>
          <w:b w:val="0"/>
          <w:bCs w:val="0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По итогу 2022 года в городе Канаш были реа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лизованы мероприятия по 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лагоустройству дворовых и общественных территорий в рамках федерального проекта «Формирование комфортной городской среды»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национального проекта «Жилье и городская среда».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Было благоустроено 9 дворовых и придомовых территорий многоквартирных домов на общую сумму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72,1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млн. рублей по следующим адресам: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ул. Свободы, д. 28;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ул. Комсомольская, д. 54;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ул. Машиностроителей, д. 27;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ул. Железнодорожная, д. 67;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ул. 30 лет Чувашии, д. 10;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пр. Ленина, дд. 55, 57, 57а, 59, 65;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мкр. Восточный, д. 9;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мкр. Восточный, дд. 14, 15, 19;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ул. Заводская, д. 1.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рамках вышеуказанной программы, также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было установлено детское игровое спортивное оборудование, при участии в софинансировании заинтересованных лиц (граждан) 20 % и местного бюджета г. Канаш 80 %, на четырёх дворовых территориях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общую сумму 1,8 млн.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: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мкр. Восточный д. 9;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мкр. Восточный дд. 14, 15, 19;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ул. Свободы д. 28;</w:t>
      </w:r>
      <w:r/>
    </w:p>
    <w:p>
      <w:pPr>
        <w:ind w:firstLine="708"/>
        <w:jc w:val="both"/>
        <w:spacing w:after="0" w:line="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ул. Машиностроителей д. 27.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 целях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Министерством строительства и жилищно-коммуна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льного хозяйства Российской Федерации совместно с АНО "Диалог Регионы" в рамках </w:t>
      </w:r>
      <w:hyperlink r:id="rId14" w:tooltip="https://internet.garant.ru/#/document/72192514/entry/0" w:history="1">
        <w:r>
          <w:rPr>
            <w:rStyle w:val="857"/>
            <w:rFonts w:ascii="Times New Roman" w:hAnsi="Times New Roman" w:eastAsia="PT Serif" w:cs="Times New Roman"/>
            <w:color w:val="000000" w:themeColor="text1"/>
            <w:sz w:val="24"/>
            <w:szCs w:val="24"/>
            <w:u w:val="none"/>
          </w:rPr>
          <w:t xml:space="preserve">Федерального проекта</w:t>
        </w:r>
      </w:hyperlink>
      <w:r>
        <w:rPr>
          <w:rFonts w:ascii="Times New Roman" w:hAnsi="Times New Roman" w:eastAsia="PT Serif" w:cs="Times New Roman"/>
          <w:color w:val="000000" w:themeColor="text1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"Формирование комфортной городской среды" национального проекта "Жилье и городская среда" и ведомственного проекта Минстроя России по цифровизации городского хозяйства "Умный город" создана единая федеральная платформа для онлайн голосования граждан по вы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бору общественных территорий, планируемых к благоустройству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Задача платформы - собрать мнения как можно большего количества граждан, представляющих разные группы населения, чтобы учесть их при благоустройстве.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225" w:after="225" w:line="283" w:lineRule="atLeast"/>
        <w:shd w:val="clear" w:color="ffffff" w:fill="ffffff"/>
        <w:rPr>
          <w:rFonts w:ascii="Times New Roman" w:hAnsi="Times New Roman" w:eastAsia="Roboto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В 2021 году впервые на общероссийской платформе прошло онлайн-голосование по отбору общественных территорий, подлежащих благоустройству в 2022 году.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На протяжении пяти недель, до 30 мая на платформе </w:t>
      </w:r>
      <w:hyperlink r:id="rId15" w:tooltip="http://za.gorodsreda.ru/" w:history="1">
        <w:r>
          <w:rPr>
            <w:rStyle w:val="857"/>
            <w:rFonts w:ascii="Times New Roman" w:hAnsi="Times New Roman" w:eastAsia="Roboto" w:cs="Times New Roman"/>
            <w:color w:val="000000" w:themeColor="text1"/>
            <w:sz w:val="24"/>
            <w:highlight w:val="white"/>
            <w:u w:val="none"/>
          </w:rPr>
          <w:t xml:space="preserve">za.gorodsreda.ru</w:t>
        </w:r>
      </w:hyperlink>
      <w:r>
        <w:rPr>
          <w:rFonts w:ascii="Times New Roman" w:hAnsi="Times New Roman" w:eastAsia="Roboto" w:cs="Times New Roman"/>
          <w:color w:val="000000" w:themeColor="text1"/>
          <w:sz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и на сайте «Госуслуги» каждый гражданин России в возрасте от 14 лет смог отдать свой голос за ту или иную территорию или дизайн-проект по благоустройству.</w:t>
      </w:r>
      <w:r>
        <w:rPr>
          <w:rFonts w:ascii="Roboto" w:hAnsi="Roboto" w:eastAsia="Roboto" w:cs="Roboto"/>
          <w:color w:val="000000" w:themeColor="text1"/>
          <w:sz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none"/>
        </w:rPr>
        <w:t xml:space="preserve">Для голосования а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дминистрацией города Канаш Чувашской Республики были разработаны три дизайн-проекта общественных территорий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none"/>
        </w:rPr>
        <w:t xml:space="preserve">. </w:t>
      </w:r>
      <w:r>
        <w:rPr>
          <w:rFonts w:ascii="Times New Roman" w:hAnsi="Times New Roman" w:eastAsia="Roboto" w:cs="Times New Roman"/>
          <w:color w:val="000000" w:themeColor="text1"/>
          <w:sz w:val="24"/>
          <w:highlight w:val="white"/>
        </w:rPr>
        <w:t xml:space="preserve">Благодаря участию граждан внешний облик общественных территорий может преобразиться, став местом притяжения жителей и гостей города.</w:t>
      </w:r>
      <w:r>
        <w:rPr>
          <w:rFonts w:ascii="Times New Roman" w:hAnsi="Times New Roman" w:eastAsia="Roboto" w:cs="Times New Roman"/>
          <w:color w:val="000000" w:themeColor="text1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итогам голосования в 2022 году была выбрана и благоустроена 1 общественная территория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17,6 млн. рублей, а именно: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Благоустройство территории АУ «Канашский городской парк культуры и отдыха» с устройством открытого стадиона широкого профиля по адресу: Чувашская Республика, г. Канаш, ул. 30 лет Победы.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качественной среды, в том числе уличных площадок для детей – главный приоритет федерального проекта «Формирование комфортной городской среды» нацпроекта «Жилье и городская среда».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 Межквартальные детские игровые площадки являются многофункциональными зонами, которые предназначены для досуга детей разных возрастных групп.</w:t>
      </w:r>
      <w:r>
        <w:rPr>
          <w:rFonts w:ascii="Times New Roman" w:hAnsi="Times New Roman" w:cs="Times New Roman"/>
          <w:sz w:val="24"/>
          <w:szCs w:val="24"/>
        </w:rPr>
        <w:t xml:space="preserve"> В 2022 году в г. Канаш, была установлена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межквартальная детская игровая площадка на сумму 13,0 млн. руб. площадью 680 кв.м по адресу: ул. Репина, д. 12.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Программу планируется продолжать реализовывать и в последующие годы.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За год реализовано 4 проекта развития общественной инфраструктуры, основанных на местных инициативах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стали победителями Республиканского конкурса на сумму 6,5 млн. руб., в том числе за счет средств населения 0,98 млн. рублей (15 %):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ул. Кирова;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Суворова, пер. Суворова;</w:t>
      </w:r>
      <w:r/>
    </w:p>
    <w:p>
      <w:pPr>
        <w:ind w:firstLine="709"/>
        <w:jc w:val="both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Ватутина;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Чайковского.</w:t>
      </w:r>
      <w:r/>
    </w:p>
    <w:p>
      <w:pPr>
        <w:contextualSpacing/>
        <w:ind w:left="0" w:right="0"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Вышеуказанные проекты направлены на решение именно тех проблем, которые жители самостоятельно определяют на собраниях.</w:t>
      </w:r>
      <w:r/>
    </w:p>
    <w:p>
      <w:pPr>
        <w:contextualSpacing/>
        <w:ind w:left="0" w:right="0"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Целями конкурсного отбора являются: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contextualSpacing/>
        <w:ind w:left="0" w:right="0"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содействие в решении вопросов местного значения городского округа;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contextualSpacing/>
        <w:ind w:left="0" w:right="0"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вовлечение населения в процессы местного самоуправления;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contextualSpacing/>
        <w:ind w:left="0" w:right="0" w:firstLine="720"/>
        <w:jc w:val="both"/>
        <w:spacing w:before="225" w:after="225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развитие механизмов инициативного бюджетирования;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contextualSpacing/>
        <w:ind w:left="0" w:right="0" w:firstLine="720"/>
        <w:jc w:val="both"/>
        <w:spacing w:before="225" w:after="225" w:line="283" w:lineRule="atLeast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повышение качества предоставления социальных услуг на местном уровне.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Предложения по дальнейшей реализации муниципальной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программы (подпрограмм), основных мероприятий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Принимая во внимание, что основные мероприятия Программы выполнены, значения целевых показателей и индикаторов Программы в целом достигнуты, отдел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строительства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считает целесообразным продолжить реализацию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рограммы.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Заместитель главы –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начальник отдела строительства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(главный архитектор)</w:t>
      </w:r>
      <w:r/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администрации города Канаш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 Д.О. Церфус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ymbol">
    <w:panose1 w:val="05050102010706020507"/>
  </w:font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4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679"/>
    <w:link w:val="691"/>
    <w:uiPriority w:val="10"/>
    <w:rPr>
      <w:sz w:val="48"/>
      <w:szCs w:val="48"/>
    </w:rPr>
  </w:style>
  <w:style w:type="character" w:styleId="662">
    <w:name w:val="Subtitle Char"/>
    <w:basedOn w:val="679"/>
    <w:link w:val="693"/>
    <w:uiPriority w:val="11"/>
    <w:rPr>
      <w:sz w:val="24"/>
      <w:szCs w:val="24"/>
    </w:rPr>
  </w:style>
  <w:style w:type="character" w:styleId="663">
    <w:name w:val="Quote Char"/>
    <w:link w:val="695"/>
    <w:uiPriority w:val="29"/>
    <w:rPr>
      <w:i/>
    </w:rPr>
  </w:style>
  <w:style w:type="character" w:styleId="664">
    <w:name w:val="Intense Quote Char"/>
    <w:link w:val="697"/>
    <w:uiPriority w:val="30"/>
    <w:rPr>
      <w:i/>
    </w:rPr>
  </w:style>
  <w:style w:type="character" w:styleId="665">
    <w:name w:val="Header Char"/>
    <w:basedOn w:val="679"/>
    <w:link w:val="699"/>
    <w:uiPriority w:val="99"/>
  </w:style>
  <w:style w:type="character" w:styleId="666">
    <w:name w:val="Caption Char"/>
    <w:basedOn w:val="703"/>
    <w:link w:val="701"/>
    <w:uiPriority w:val="99"/>
  </w:style>
  <w:style w:type="character" w:styleId="667">
    <w:name w:val="Footnote Text Char"/>
    <w:link w:val="832"/>
    <w:uiPriority w:val="99"/>
    <w:rPr>
      <w:sz w:val="18"/>
    </w:rPr>
  </w:style>
  <w:style w:type="character" w:styleId="668">
    <w:name w:val="Endnote Text Char"/>
    <w:link w:val="835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669"/>
    <w:next w:val="669"/>
    <w:link w:val="692"/>
    <w:uiPriority w:val="10"/>
    <w:qFormat/>
    <w:pPr>
      <w:contextualSpacing/>
      <w:spacing w:before="300"/>
    </w:pPr>
    <w:rPr>
      <w:sz w:val="48"/>
      <w:szCs w:val="48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basedOn w:val="669"/>
    <w:next w:val="669"/>
    <w:link w:val="694"/>
    <w:uiPriority w:val="11"/>
    <w:qFormat/>
    <w:pPr>
      <w:spacing w:before="200"/>
    </w:pPr>
    <w:rPr>
      <w:sz w:val="24"/>
      <w:szCs w:val="24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basedOn w:val="669"/>
    <w:next w:val="669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9"/>
    <w:next w:val="669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basedOn w:val="66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Footer Char"/>
    <w:uiPriority w:val="99"/>
  </w:style>
  <w:style w:type="paragraph" w:styleId="703">
    <w:name w:val="Caption"/>
    <w:basedOn w:val="669"/>
    <w:next w:val="66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563c1" w:themeColor="hyperlink"/>
      <w:u w:val="single"/>
    </w:rPr>
  </w:style>
  <w:style w:type="paragraph" w:styleId="832">
    <w:name w:val="footnote text"/>
    <w:basedOn w:val="66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66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669"/>
    <w:next w:val="669"/>
    <w:uiPriority w:val="39"/>
    <w:unhideWhenUsed/>
    <w:pPr>
      <w:spacing w:after="57"/>
    </w:pPr>
  </w:style>
  <w:style w:type="paragraph" w:styleId="839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0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1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2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3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4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5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6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69"/>
    <w:next w:val="669"/>
    <w:uiPriority w:val="99"/>
    <w:unhideWhenUsed/>
    <w:pPr>
      <w:spacing w:after="0"/>
    </w:pPr>
  </w:style>
  <w:style w:type="paragraph" w:styleId="849">
    <w:name w:val="No Spacing"/>
    <w:basedOn w:val="669"/>
    <w:uiPriority w:val="1"/>
    <w:qFormat/>
    <w:pPr>
      <w:spacing w:after="0" w:line="240" w:lineRule="auto"/>
    </w:pPr>
  </w:style>
  <w:style w:type="paragraph" w:styleId="850">
    <w:name w:val="List Paragraph"/>
    <w:basedOn w:val="669"/>
    <w:uiPriority w:val="34"/>
    <w:qFormat/>
    <w:pPr>
      <w:contextualSpacing/>
      <w:ind w:left="720"/>
    </w:pPr>
  </w:style>
  <w:style w:type="paragraph" w:styleId="851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color w:val="000000"/>
      <w:sz w:val="24"/>
      <w:szCs w:val="24"/>
    </w:rPr>
  </w:style>
  <w:style w:type="character" w:styleId="852">
    <w:name w:val="Strong"/>
    <w:basedOn w:val="679"/>
    <w:uiPriority w:val="22"/>
    <w:qFormat/>
    <w:rPr>
      <w:b/>
      <w:bCs/>
    </w:rPr>
  </w:style>
  <w:style w:type="character" w:styleId="853" w:customStyle="1">
    <w:name w:val="Цветовое выделение"/>
    <w:uiPriority w:val="99"/>
    <w:rPr>
      <w:b/>
      <w:bCs/>
      <w:color w:val="26282f"/>
    </w:rPr>
  </w:style>
  <w:style w:type="character" w:styleId="854" w:customStyle="1">
    <w:name w:val="Гипертекстовая ссылка"/>
    <w:basedOn w:val="853"/>
    <w:uiPriority w:val="99"/>
    <w:rPr>
      <w:b/>
      <w:bCs/>
      <w:color w:val="106bbe"/>
    </w:rPr>
  </w:style>
  <w:style w:type="paragraph" w:styleId="855" w:customStyle="1">
    <w:name w:val="Нормальный (таблица)"/>
    <w:basedOn w:val="669"/>
    <w:next w:val="669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56" w:customStyle="1">
    <w:name w:val="Прижатый влево"/>
    <w:basedOn w:val="669"/>
    <w:next w:val="669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857" w:customStyle="1">
    <w:name w:val="Гиперссылка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#/document/73064042/entry/0" TargetMode="External"/><Relationship Id="rId13" Type="http://schemas.openxmlformats.org/officeDocument/2006/relationships/hyperlink" Target="https://internet.garant.ru/#/document/73064042/entry/0" TargetMode="External"/><Relationship Id="rId14" Type="http://schemas.openxmlformats.org/officeDocument/2006/relationships/hyperlink" Target="https://internet.garant.ru/#/document/72192514/entry/0" TargetMode="External"/><Relationship Id="rId15" Type="http://schemas.openxmlformats.org/officeDocument/2006/relationships/hyperlink" Target="http://za.gorodsred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created xsi:type="dcterms:W3CDTF">2023-02-25T15:08:00Z</dcterms:created>
  <dcterms:modified xsi:type="dcterms:W3CDTF">2023-02-28T10:14:04Z</dcterms:modified>
</cp:coreProperties>
</file>