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spacing w:after="0" w:line="240" w:lineRule="auto"/>
        <w:ind/>
        <w:rPr>
          <w:rFonts w:ascii="Times New Roman" w:hAnsi="Times New Roman"/>
          <w:color w:themeColor="text1" w:val="000000"/>
          <w:sz w:val="28"/>
        </w:rPr>
      </w:pPr>
    </w:p>
    <w:p w14:paraId="06000000">
      <w:pPr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Решением </w:t>
      </w:r>
      <w:r>
        <w:rPr>
          <w:rFonts w:ascii="Times New Roman" w:hAnsi="Times New Roman"/>
          <w:b w:val="1"/>
          <w:sz w:val="28"/>
        </w:rPr>
        <w:t>Яльчикского</w:t>
      </w:r>
      <w:r>
        <w:rPr>
          <w:rFonts w:ascii="Times New Roman" w:hAnsi="Times New Roman"/>
          <w:b w:val="1"/>
          <w:sz w:val="28"/>
        </w:rPr>
        <w:t xml:space="preserve"> районного суда удовлетворены исковые требования п</w:t>
      </w:r>
      <w:r>
        <w:rPr>
          <w:rFonts w:ascii="Times New Roman" w:hAnsi="Times New Roman"/>
          <w:b w:val="1"/>
          <w:sz w:val="28"/>
        </w:rPr>
        <w:t>рокур</w:t>
      </w:r>
      <w:r>
        <w:rPr>
          <w:rFonts w:ascii="Times New Roman" w:hAnsi="Times New Roman"/>
          <w:b w:val="1"/>
          <w:sz w:val="28"/>
        </w:rPr>
        <w:t>ора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Яльчикского</w:t>
      </w:r>
      <w:r>
        <w:rPr>
          <w:rFonts w:ascii="Times New Roman" w:hAnsi="Times New Roman"/>
          <w:b w:val="1"/>
          <w:sz w:val="28"/>
        </w:rPr>
        <w:t xml:space="preserve"> района </w:t>
      </w:r>
      <w:r>
        <w:rPr>
          <w:rFonts w:ascii="Times New Roman" w:hAnsi="Times New Roman"/>
          <w:b w:val="1"/>
          <w:sz w:val="28"/>
        </w:rPr>
        <w:t>о п</w:t>
      </w:r>
      <w:r>
        <w:rPr>
          <w:rFonts w:ascii="Times New Roman" w:hAnsi="Times New Roman"/>
          <w:b w:val="1"/>
          <w:sz w:val="28"/>
        </w:rPr>
        <w:t>ризна</w:t>
      </w:r>
      <w:r>
        <w:rPr>
          <w:rFonts w:ascii="Times New Roman" w:hAnsi="Times New Roman"/>
          <w:b w:val="1"/>
          <w:sz w:val="28"/>
        </w:rPr>
        <w:t>нии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недействительным образовани</w:t>
      </w:r>
      <w:r>
        <w:rPr>
          <w:rFonts w:ascii="Times New Roman" w:hAnsi="Times New Roman"/>
          <w:b w:val="1"/>
          <w:sz w:val="28"/>
        </w:rPr>
        <w:t>я</w:t>
      </w:r>
      <w:r>
        <w:rPr>
          <w:rFonts w:ascii="Times New Roman" w:hAnsi="Times New Roman"/>
          <w:b w:val="1"/>
          <w:sz w:val="28"/>
        </w:rPr>
        <w:t xml:space="preserve"> земельного участка</w:t>
      </w:r>
      <w:r>
        <w:rPr>
          <w:rFonts w:ascii="Times New Roman" w:hAnsi="Times New Roman"/>
          <w:b w:val="1"/>
          <w:sz w:val="28"/>
        </w:rPr>
        <w:t xml:space="preserve"> на р. </w:t>
      </w:r>
      <w:r>
        <w:rPr>
          <w:rFonts w:ascii="Times New Roman" w:hAnsi="Times New Roman"/>
          <w:b w:val="1"/>
          <w:sz w:val="28"/>
        </w:rPr>
        <w:t>Юмансар</w:t>
      </w:r>
    </w:p>
    <w:p w14:paraId="07000000">
      <w:pPr>
        <w:spacing w:after="0" w:line="240" w:lineRule="exact"/>
        <w:ind w:firstLine="709" w:left="0"/>
        <w:jc w:val="center"/>
        <w:rPr>
          <w:rFonts w:ascii="Times New Roman" w:hAnsi="Times New Roman"/>
          <w:sz w:val="26"/>
        </w:rPr>
      </w:pPr>
    </w:p>
    <w:p w14:paraId="08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</w:t>
      </w:r>
      <w:r>
        <w:rPr>
          <w:rFonts w:ascii="Times New Roman" w:hAnsi="Times New Roman"/>
          <w:sz w:val="28"/>
        </w:rPr>
        <w:t>Яльчикского</w:t>
      </w:r>
      <w:r>
        <w:rPr>
          <w:rFonts w:ascii="Times New Roman" w:hAnsi="Times New Roman"/>
          <w:sz w:val="28"/>
        </w:rPr>
        <w:t xml:space="preserve"> района в ходе проверки выявлены нарушения законодательства </w:t>
      </w:r>
      <w:r>
        <w:rPr>
          <w:rFonts w:ascii="Times New Roman" w:hAnsi="Times New Roman"/>
          <w:sz w:val="28"/>
        </w:rPr>
        <w:t xml:space="preserve">администрацией </w:t>
      </w:r>
      <w:r>
        <w:rPr>
          <w:rFonts w:ascii="Times New Roman" w:hAnsi="Times New Roman"/>
          <w:sz w:val="28"/>
        </w:rPr>
        <w:t>Яльчикского</w:t>
      </w:r>
      <w:r>
        <w:rPr>
          <w:rFonts w:ascii="Times New Roman" w:hAnsi="Times New Roman"/>
          <w:sz w:val="28"/>
        </w:rPr>
        <w:t xml:space="preserve"> муниципального округа </w:t>
      </w:r>
      <w:r>
        <w:rPr>
          <w:rFonts w:ascii="Times New Roman" w:hAnsi="Times New Roman"/>
          <w:sz w:val="28"/>
        </w:rPr>
        <w:t xml:space="preserve">при </w:t>
      </w:r>
      <w:r>
        <w:rPr>
          <w:rFonts w:ascii="Times New Roman" w:hAnsi="Times New Roman"/>
          <w:sz w:val="28"/>
        </w:rPr>
        <w:t>формировании</w:t>
      </w:r>
      <w:r>
        <w:rPr>
          <w:rFonts w:ascii="Times New Roman" w:hAnsi="Times New Roman"/>
          <w:sz w:val="28"/>
        </w:rPr>
        <w:t xml:space="preserve"> земельн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участ</w:t>
      </w:r>
      <w:r>
        <w:rPr>
          <w:rFonts w:ascii="Times New Roman" w:hAnsi="Times New Roman"/>
          <w:sz w:val="28"/>
        </w:rPr>
        <w:t xml:space="preserve">ка </w:t>
      </w:r>
      <w:r>
        <w:rPr>
          <w:rFonts w:ascii="Times New Roman" w:hAnsi="Times New Roman"/>
          <w:sz w:val="28"/>
        </w:rPr>
        <w:t>с расположенным на нем водным объектом.</w:t>
      </w:r>
    </w:p>
    <w:p w14:paraId="09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становлено, что на основании заявления местного жителя сформирован земельный участок </w:t>
      </w:r>
      <w:r>
        <w:rPr>
          <w:rFonts w:ascii="Times New Roman" w:hAnsi="Times New Roman"/>
          <w:sz w:val="28"/>
        </w:rPr>
        <w:t xml:space="preserve">площадью 202350 +/- 226 </w:t>
      </w:r>
      <w:r>
        <w:rPr>
          <w:rFonts w:ascii="Times New Roman" w:hAnsi="Times New Roman"/>
          <w:sz w:val="28"/>
        </w:rPr>
        <w:t>кв.м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который последнему предоставлен в аренду. По истечению срока договора аренды земельный участок возвращен муниципалитету.</w:t>
      </w:r>
      <w:r>
        <w:rPr>
          <w:rFonts w:ascii="Times New Roman" w:hAnsi="Times New Roman"/>
          <w:sz w:val="28"/>
        </w:rPr>
        <w:t xml:space="preserve"> </w:t>
      </w:r>
    </w:p>
    <w:p w14:paraId="0A000000">
      <w:pPr>
        <w:pStyle w:val="Style_3"/>
        <w:rPr>
          <w:rStyle w:val="Style_3_ch"/>
        </w:rPr>
      </w:pPr>
      <w:r>
        <w:t xml:space="preserve">В </w:t>
      </w:r>
      <w:r>
        <w:t xml:space="preserve">границах </w:t>
      </w:r>
      <w:r>
        <w:rPr>
          <w:rStyle w:val="Style_3_ch"/>
        </w:rPr>
        <w:t>земельн</w:t>
      </w:r>
      <w:r>
        <w:rPr>
          <w:rStyle w:val="Style_3_ch"/>
        </w:rPr>
        <w:t xml:space="preserve">ого </w:t>
      </w:r>
      <w:r>
        <w:rPr>
          <w:rStyle w:val="Style_3_ch"/>
        </w:rPr>
        <w:t>участк</w:t>
      </w:r>
      <w:r>
        <w:rPr>
          <w:rStyle w:val="Style_3_ch"/>
        </w:rPr>
        <w:t>а</w:t>
      </w:r>
      <w:r>
        <w:rPr>
          <w:rStyle w:val="Style_3_ch"/>
        </w:rPr>
        <w:t xml:space="preserve"> </w:t>
      </w:r>
      <w:r>
        <w:t>расположен водный объект</w:t>
      </w:r>
      <w:r>
        <w:t xml:space="preserve"> – река </w:t>
      </w:r>
      <w:r>
        <w:t>Юмансар</w:t>
      </w:r>
      <w:r>
        <w:t xml:space="preserve">, имеющая гидравлическую связь с другими водными объектами и </w:t>
      </w:r>
      <w:r>
        <w:t>впадающ</w:t>
      </w:r>
      <w:r>
        <w:t xml:space="preserve">ей </w:t>
      </w:r>
      <w:r>
        <w:t>в реку Волга</w:t>
      </w:r>
      <w:r>
        <w:t xml:space="preserve"> Верхневолжского бассейнового округа</w:t>
      </w:r>
      <w:r>
        <w:rPr>
          <w:rStyle w:val="Style_3_ch"/>
        </w:rPr>
        <w:t>.</w:t>
      </w:r>
    </w:p>
    <w:p w14:paraId="0B000000">
      <w:pPr>
        <w:pStyle w:val="Style_3"/>
      </w:pPr>
      <w:r>
        <w:t>В связи с тем, что п</w:t>
      </w:r>
      <w:r>
        <w:t xml:space="preserve">ри </w:t>
      </w:r>
      <w:r>
        <w:t xml:space="preserve">постановке на кадастровый учет </w:t>
      </w:r>
      <w:r>
        <w:t xml:space="preserve">земельного участка </w:t>
      </w:r>
      <w:r>
        <w:t xml:space="preserve">не соблюдены </w:t>
      </w:r>
      <w:r>
        <w:t>требования земельного и водного законодательства, что повлекло</w:t>
      </w:r>
      <w:r>
        <w:t xml:space="preserve"> </w:t>
      </w:r>
      <w:r>
        <w:t>нарушени</w:t>
      </w:r>
      <w:r>
        <w:t xml:space="preserve">е </w:t>
      </w:r>
      <w:r>
        <w:t>прав публично-правового образования (Российской Федерации) и интересов третьих (неопределенного круга) лиц</w:t>
      </w:r>
      <w:r>
        <w:t>, прокурор района обратился с исковым заявлением в районный суд о п</w:t>
      </w:r>
      <w:r>
        <w:t>ризна</w:t>
      </w:r>
      <w:r>
        <w:t>нии</w:t>
      </w:r>
      <w:r>
        <w:t xml:space="preserve"> </w:t>
      </w:r>
      <w:r>
        <w:t>недействительным образование</w:t>
      </w:r>
      <w:r>
        <w:t xml:space="preserve"> вышеуказанного</w:t>
      </w:r>
      <w:r>
        <w:t xml:space="preserve"> земельного участка </w:t>
      </w:r>
      <w:r>
        <w:t>и и</w:t>
      </w:r>
      <w:r>
        <w:t>сключ</w:t>
      </w:r>
      <w:r>
        <w:t>ением</w:t>
      </w:r>
      <w:r>
        <w:t xml:space="preserve"> </w:t>
      </w:r>
      <w:r>
        <w:t>его</w:t>
      </w:r>
      <w:r>
        <w:t xml:space="preserve"> </w:t>
      </w:r>
      <w:r>
        <w:t xml:space="preserve">записи из </w:t>
      </w:r>
      <w:r>
        <w:t>Единого государственного реестра недвижимости</w:t>
      </w:r>
      <w:r>
        <w:t>.</w:t>
      </w:r>
    </w:p>
    <w:p w14:paraId="0C000000">
      <w:pPr>
        <w:pStyle w:val="Style_3"/>
      </w:pPr>
      <w:r>
        <w:t xml:space="preserve">Решением </w:t>
      </w:r>
      <w:r>
        <w:t>Яльчикского</w:t>
      </w:r>
      <w:r>
        <w:t xml:space="preserve"> р</w:t>
      </w:r>
      <w:bookmarkStart w:id="1" w:name="_GoBack"/>
      <w:bookmarkEnd w:id="1"/>
      <w:r>
        <w:t>айонного суда требования прокурора удовлетворены в полном объеме.</w:t>
      </w:r>
    </w:p>
    <w:p w14:paraId="0D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0E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0F000000">
      <w:pPr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Прокурор </w:t>
      </w:r>
      <w:r>
        <w:rPr>
          <w:rFonts w:ascii="Times New Roman" w:hAnsi="Times New Roman"/>
          <w:sz w:val="28"/>
        </w:rPr>
        <w:t>Яльчикского</w:t>
      </w:r>
      <w:r>
        <w:rPr>
          <w:rFonts w:ascii="Times New Roman" w:hAnsi="Times New Roman"/>
          <w:sz w:val="28"/>
        </w:rPr>
        <w:t xml:space="preserve"> района </w:t>
      </w:r>
    </w:p>
    <w:p w14:paraId="10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11000000">
      <w:pPr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                                                                           А.Н. Кудряшов</w:t>
      </w:r>
    </w:p>
    <w:p w14:paraId="12000000">
      <w:pPr>
        <w:spacing w:after="0" w:line="240" w:lineRule="exact"/>
        <w:ind/>
        <w:jc w:val="center"/>
        <w:rPr>
          <w:rFonts w:ascii="Times New Roman" w:hAnsi="Times New Roman"/>
          <w:color w:themeColor="text1" w:val="000000"/>
          <w:sz w:val="28"/>
        </w:rPr>
      </w:pPr>
    </w:p>
    <w:sectPr>
      <w:headerReference r:id="rId2" w:type="default"/>
      <w:headerReference r:id="rId1" w:type="first"/>
      <w:pgSz w:h="16838" w:orient="portrait" w:w="11906"/>
      <w:pgMar w:bottom="1134" w:footer="0" w:gutter="0" w:header="709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color w:themeColor="background1" w:val="FFFFFF"/>
      </w:rPr>
    </w:pPr>
    <w:r>
      <w:rPr>
        <w:color w:themeColor="background1" w:val="FFFFFF"/>
      </w:rPr>
      <w:fldChar w:fldCharType="begin"/>
    </w:r>
    <w:r>
      <w:rPr>
        <w:color w:themeColor="background1" w:val="FFFFFF"/>
      </w:rPr>
      <w:instrText xml:space="preserve">PAGE </w:instrText>
    </w:r>
    <w:r>
      <w:rPr>
        <w:color w:themeColor="background1" w:val="FFFFFF"/>
      </w:rPr>
      <w:fldChar w:fldCharType="separate"/>
    </w:r>
    <w:r>
      <w:rPr>
        <w:color w:themeColor="background1" w:val="FFFFFF"/>
      </w:rPr>
      <w:t xml:space="preserve"> </w:t>
    </w:r>
    <w:r>
      <w:rPr>
        <w:color w:themeColor="background1" w:val="FFFFFF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toc 4"/>
    <w:next w:val="Style_4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3" w:type="paragraph">
    <w:name w:val="Стиль3"/>
    <w:basedOn w:val="Style_2"/>
    <w:link w:val="Style_3_ch"/>
    <w:pPr>
      <w:ind w:firstLine="709" w:left="0"/>
      <w:jc w:val="both"/>
    </w:pPr>
    <w:rPr>
      <w:rFonts w:ascii="Times New Roman" w:hAnsi="Times New Roman"/>
      <w:sz w:val="28"/>
    </w:rPr>
  </w:style>
  <w:style w:styleId="Style_3_ch" w:type="character">
    <w:name w:val="Стиль3"/>
    <w:basedOn w:val="Style_2_ch"/>
    <w:link w:val="Style_3"/>
    <w:rPr>
      <w:rFonts w:ascii="Times New Roman" w:hAnsi="Times New Roman"/>
      <w:sz w:val="28"/>
    </w:rPr>
  </w:style>
  <w:style w:styleId="Style_12" w:type="paragraph">
    <w:name w:val="Balloon Text"/>
    <w:basedOn w:val="Style_4"/>
    <w:link w:val="Style_12_ch"/>
    <w:pPr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4_ch"/>
    <w:link w:val="Style_12"/>
    <w:rPr>
      <w:rFonts w:ascii="Segoe UI" w:hAnsi="Segoe UI"/>
      <w:sz w:val="18"/>
    </w:rPr>
  </w:style>
  <w:style w:styleId="Style_13" w:type="paragraph">
    <w:name w:val="annotation reference"/>
    <w:basedOn w:val="Style_6"/>
    <w:link w:val="Style_13_ch"/>
    <w:rPr>
      <w:sz w:val="16"/>
    </w:rPr>
  </w:style>
  <w:style w:styleId="Style_13_ch" w:type="character">
    <w:name w:val="annotation reference"/>
    <w:basedOn w:val="Style_6_ch"/>
    <w:link w:val="Style_13"/>
    <w:rPr>
      <w:sz w:val="16"/>
    </w:rPr>
  </w:style>
  <w:style w:styleId="Style_14" w:type="paragraph">
    <w:name w:val="Placeholder Text"/>
    <w:basedOn w:val="Style_6"/>
    <w:link w:val="Style_14_ch"/>
    <w:rPr>
      <w:color w:val="808080"/>
    </w:rPr>
  </w:style>
  <w:style w:styleId="Style_14_ch" w:type="character">
    <w:name w:val="Placeholder Text"/>
    <w:basedOn w:val="Style_6_ch"/>
    <w:link w:val="Style_14"/>
    <w:rPr>
      <w:color w:val="808080"/>
    </w:rPr>
  </w:style>
  <w:style w:styleId="Style_15" w:type="paragraph">
    <w:name w:val="annotation text"/>
    <w:basedOn w:val="Style_4"/>
    <w:link w:val="Style_15_ch"/>
    <w:pPr>
      <w:spacing w:line="240" w:lineRule="auto"/>
      <w:ind/>
    </w:pPr>
    <w:rPr>
      <w:sz w:val="20"/>
    </w:rPr>
  </w:style>
  <w:style w:styleId="Style_15_ch" w:type="character">
    <w:name w:val="annotation text"/>
    <w:basedOn w:val="Style_4_ch"/>
    <w:link w:val="Style_15"/>
    <w:rPr>
      <w:sz w:val="20"/>
    </w:rPr>
  </w:style>
  <w:style w:styleId="Style_16" w:type="paragraph">
    <w:name w:val="toc 3"/>
    <w:next w:val="Style_4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4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annotation subject"/>
    <w:basedOn w:val="Style_15"/>
    <w:next w:val="Style_15"/>
    <w:link w:val="Style_18_ch"/>
    <w:rPr>
      <w:b w:val="1"/>
    </w:rPr>
  </w:style>
  <w:style w:styleId="Style_18_ch" w:type="character">
    <w:name w:val="annotation subject"/>
    <w:basedOn w:val="Style_15_ch"/>
    <w:link w:val="Style_18"/>
    <w:rPr>
      <w:b w:val="1"/>
    </w:rPr>
  </w:style>
  <w:style w:styleId="Style_19" w:type="paragraph">
    <w:name w:val="heading 1"/>
    <w:next w:val="Style_4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" w:type="paragraph">
    <w:name w:val="No Spacing"/>
    <w:link w:val="Style_2_ch"/>
    <w:pPr>
      <w:spacing w:after="0" w:line="240" w:lineRule="auto"/>
      <w:ind/>
    </w:pPr>
    <w:rPr>
      <w:rFonts w:ascii="Calibri" w:hAnsi="Calibri"/>
    </w:rPr>
  </w:style>
  <w:style w:styleId="Style_2_ch" w:type="character">
    <w:name w:val="No Spacing"/>
    <w:link w:val="Style_2"/>
    <w:rPr>
      <w:rFonts w:ascii="Calibri" w:hAnsi="Calibri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4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footer"/>
    <w:basedOn w:val="Style_4"/>
    <w:link w:val="Style_24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4_ch" w:type="character">
    <w:name w:val="footer"/>
    <w:basedOn w:val="Style_4_ch"/>
    <w:link w:val="Style_24"/>
  </w:style>
  <w:style w:styleId="Style_25" w:type="paragraph">
    <w:name w:val="toc 9"/>
    <w:next w:val="Style_4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4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Default"/>
    <w:link w:val="Style_27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27_ch" w:type="character">
    <w:name w:val="Default"/>
    <w:link w:val="Style_27"/>
    <w:rPr>
      <w:rFonts w:ascii="Times New Roman" w:hAnsi="Times New Roman"/>
      <w:color w:val="000000"/>
      <w:sz w:val="24"/>
    </w:rPr>
  </w:style>
  <w:style w:styleId="Style_28" w:type="paragraph">
    <w:name w:val="Основной текст1"/>
    <w:basedOn w:val="Style_4"/>
    <w:link w:val="Style_28_ch"/>
    <w:pPr>
      <w:widowControl w:val="0"/>
      <w:spacing w:after="70" w:line="264" w:lineRule="auto"/>
      <w:ind/>
      <w:jc w:val="center"/>
    </w:pPr>
    <w:rPr>
      <w:rFonts w:ascii="Times New Roman" w:hAnsi="Times New Roman"/>
      <w:color w:val="231F20"/>
      <w:sz w:val="20"/>
    </w:rPr>
  </w:style>
  <w:style w:styleId="Style_28_ch" w:type="character">
    <w:name w:val="Основной текст1"/>
    <w:basedOn w:val="Style_4_ch"/>
    <w:link w:val="Style_28"/>
    <w:rPr>
      <w:rFonts w:ascii="Times New Roman" w:hAnsi="Times New Roman"/>
      <w:color w:val="231F20"/>
      <w:sz w:val="20"/>
    </w:rPr>
  </w:style>
  <w:style w:styleId="Style_29" w:type="paragraph">
    <w:name w:val="toc 5"/>
    <w:next w:val="Style_4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30" w:type="paragraph">
    <w:name w:val="caption"/>
    <w:basedOn w:val="Style_4"/>
    <w:next w:val="Style_4"/>
    <w:link w:val="Style_30_ch"/>
    <w:pPr>
      <w:spacing w:after="200" w:line="240" w:lineRule="auto"/>
      <w:ind/>
    </w:pPr>
    <w:rPr>
      <w:i w:val="1"/>
      <w:color w:themeColor="text2" w:val="44546A"/>
      <w:sz w:val="18"/>
    </w:rPr>
  </w:style>
  <w:style w:styleId="Style_30_ch" w:type="character">
    <w:name w:val="caption"/>
    <w:basedOn w:val="Style_4_ch"/>
    <w:link w:val="Style_30"/>
    <w:rPr>
      <w:i w:val="1"/>
      <w:color w:themeColor="text2" w:val="44546A"/>
      <w:sz w:val="18"/>
    </w:rPr>
  </w:style>
  <w:style w:styleId="Style_31" w:type="paragraph">
    <w:name w:val="Subtitle"/>
    <w:next w:val="Style_4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4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4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4"/>
    <w:link w:val="Style_3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35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2025-11-24T18:27:31Z</dcterms:modified>
</cp:coreProperties>
</file>