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A41" w:rsidRPr="00BB5A41" w:rsidRDefault="00BB5A41" w:rsidP="00BB5A41">
      <w:pPr>
        <w:spacing w:after="0" w:line="240" w:lineRule="auto"/>
        <w:jc w:val="center"/>
        <w:rPr>
          <w:rFonts w:ascii="Times New Roman" w:eastAsia="Times New Roman" w:hAnsi="Times New Roman" w:cs="Times New Roman"/>
          <w:b/>
          <w:sz w:val="24"/>
          <w:szCs w:val="24"/>
          <w:lang w:eastAsia="ru-RU"/>
        </w:rPr>
      </w:pPr>
      <w:r w:rsidRPr="00BB5A41">
        <w:rPr>
          <w:rFonts w:ascii="Times New Roman" w:eastAsia="Times New Roman" w:hAnsi="Times New Roman" w:cs="Times New Roman"/>
          <w:b/>
          <w:sz w:val="24"/>
          <w:szCs w:val="24"/>
          <w:lang w:eastAsia="ru-RU"/>
        </w:rPr>
        <w:t>Пояснительная записка к докладу</w:t>
      </w:r>
    </w:p>
    <w:p w:rsidR="009F6FAE" w:rsidRPr="00E16964" w:rsidRDefault="00BB5A41" w:rsidP="00BB5A41">
      <w:pPr>
        <w:spacing w:after="0" w:line="240" w:lineRule="auto"/>
        <w:ind w:firstLine="709"/>
        <w:jc w:val="center"/>
        <w:rPr>
          <w:rFonts w:ascii="Times New Roman" w:hAnsi="Times New Roman" w:cs="Times New Roman"/>
          <w:b/>
          <w:sz w:val="24"/>
          <w:szCs w:val="24"/>
        </w:rPr>
      </w:pPr>
      <w:r w:rsidRPr="00BB5A41">
        <w:rPr>
          <w:rFonts w:ascii="Times New Roman" w:eastAsia="Times New Roman" w:hAnsi="Times New Roman" w:cs="Times New Roman"/>
          <w:b/>
          <w:bCs/>
          <w:sz w:val="24"/>
          <w:szCs w:val="24"/>
          <w:lang w:eastAsia="ru-RU"/>
        </w:rPr>
        <w:t xml:space="preserve">о достигнутых значениях показателей для оценки эффективности деятельности органов местного самоуправления </w:t>
      </w:r>
      <w:r>
        <w:rPr>
          <w:rFonts w:ascii="Times New Roman" w:eastAsia="Times New Roman" w:hAnsi="Times New Roman" w:cs="Times New Roman"/>
          <w:b/>
          <w:bCs/>
          <w:sz w:val="24"/>
          <w:szCs w:val="24"/>
          <w:lang w:eastAsia="ru-RU"/>
        </w:rPr>
        <w:t>Вурнарского</w:t>
      </w:r>
      <w:r w:rsidRPr="00BB5A41">
        <w:rPr>
          <w:rFonts w:ascii="Times New Roman" w:eastAsia="Times New Roman" w:hAnsi="Times New Roman" w:cs="Times New Roman"/>
          <w:b/>
          <w:bCs/>
          <w:sz w:val="24"/>
          <w:szCs w:val="24"/>
          <w:lang w:eastAsia="ru-RU"/>
        </w:rPr>
        <w:t xml:space="preserve"> </w:t>
      </w:r>
      <w:r w:rsidR="00D03081">
        <w:rPr>
          <w:rFonts w:ascii="Times New Roman" w:eastAsia="Times New Roman" w:hAnsi="Times New Roman" w:cs="Times New Roman"/>
          <w:b/>
          <w:bCs/>
          <w:sz w:val="24"/>
          <w:szCs w:val="24"/>
          <w:lang w:eastAsia="ru-RU"/>
        </w:rPr>
        <w:t>муниципального округа</w:t>
      </w:r>
      <w:bookmarkStart w:id="0" w:name="_GoBack"/>
      <w:bookmarkEnd w:id="0"/>
      <w:r w:rsidRPr="00BB5A41">
        <w:rPr>
          <w:rFonts w:ascii="Times New Roman" w:eastAsia="Times New Roman" w:hAnsi="Times New Roman" w:cs="Times New Roman"/>
          <w:b/>
          <w:bCs/>
          <w:sz w:val="24"/>
          <w:szCs w:val="24"/>
          <w:lang w:eastAsia="ru-RU"/>
        </w:rPr>
        <w:t xml:space="preserve"> Чувашской Республики</w:t>
      </w:r>
      <w:r w:rsidRPr="00BB5A41">
        <w:rPr>
          <w:rFonts w:ascii="Times New Roman" w:eastAsia="Times New Roman" w:hAnsi="Times New Roman" w:cs="Times New Roman"/>
          <w:b/>
          <w:sz w:val="24"/>
          <w:szCs w:val="24"/>
          <w:lang w:eastAsia="ru-RU"/>
        </w:rPr>
        <w:t xml:space="preserve"> </w:t>
      </w:r>
      <w:r w:rsidRPr="00BB5A41">
        <w:rPr>
          <w:rFonts w:ascii="Times New Roman" w:eastAsia="Times New Roman" w:hAnsi="Times New Roman" w:cs="Times New Roman"/>
          <w:b/>
          <w:bCs/>
          <w:sz w:val="24"/>
          <w:szCs w:val="24"/>
          <w:lang w:eastAsia="ru-RU"/>
        </w:rPr>
        <w:t xml:space="preserve"> за 2024 год и их планируемых значениях на 3-летний период</w:t>
      </w:r>
    </w:p>
    <w:p w:rsidR="00BB5A41" w:rsidRDefault="00BB5A41" w:rsidP="009F6FAE">
      <w:pPr>
        <w:spacing w:after="0" w:line="240" w:lineRule="auto"/>
        <w:ind w:firstLine="709"/>
        <w:contextualSpacing/>
        <w:jc w:val="center"/>
        <w:rPr>
          <w:rFonts w:ascii="Times New Roman" w:hAnsi="Times New Roman" w:cs="Times New Roman"/>
          <w:b/>
          <w:sz w:val="24"/>
          <w:szCs w:val="24"/>
        </w:rPr>
      </w:pPr>
    </w:p>
    <w:p w:rsidR="00CE12A7" w:rsidRDefault="00E14A52" w:rsidP="009F6FAE">
      <w:pPr>
        <w:spacing w:after="0" w:line="240" w:lineRule="auto"/>
        <w:ind w:firstLine="709"/>
        <w:contextualSpacing/>
        <w:jc w:val="center"/>
        <w:rPr>
          <w:rFonts w:ascii="Times New Roman" w:hAnsi="Times New Roman" w:cs="Times New Roman"/>
          <w:sz w:val="24"/>
          <w:szCs w:val="24"/>
        </w:rPr>
      </w:pPr>
      <w:r w:rsidRPr="00E16964">
        <w:rPr>
          <w:rFonts w:ascii="Times New Roman" w:hAnsi="Times New Roman" w:cs="Times New Roman"/>
          <w:b/>
          <w:sz w:val="24"/>
          <w:szCs w:val="24"/>
        </w:rPr>
        <w:t>Экономическое развитие</w:t>
      </w:r>
      <w:r w:rsidRPr="00E16964">
        <w:rPr>
          <w:rFonts w:ascii="Times New Roman" w:hAnsi="Times New Roman" w:cs="Times New Roman"/>
          <w:sz w:val="24"/>
          <w:szCs w:val="24"/>
        </w:rPr>
        <w:t>.</w:t>
      </w:r>
    </w:p>
    <w:p w:rsidR="009F6FAE" w:rsidRPr="00E16964" w:rsidRDefault="009F6FAE" w:rsidP="009F6FAE">
      <w:pPr>
        <w:spacing w:after="0" w:line="240" w:lineRule="auto"/>
        <w:ind w:firstLine="709"/>
        <w:contextualSpacing/>
        <w:jc w:val="both"/>
        <w:rPr>
          <w:rFonts w:ascii="Times New Roman" w:hAnsi="Times New Roman" w:cs="Times New Roman"/>
          <w:sz w:val="24"/>
          <w:szCs w:val="24"/>
        </w:rPr>
      </w:pP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Существенную роль в развитие экономики Вурнарского муниципального округа вносят малые и средние предприятия. Предпринимательство способствует увеличению налоговых поступлений в бюджет всех уровней, в том числе в бюджет Вурнарского муниципального округа, обеспечению занятости населения путем создания новых рабочих мест, увеличению объема выпускаемой продукции, работ и услуг. Число субъектов малого и среднего предпринимательства в расчете на 10 тыс. человек населения в 2024 году составило 245 единиц.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составила 40,1 %.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Объем инвестиций в основной капитал (за исключением бюджетных средств) в расчете на 1 жителя в 2024 году составил </w:t>
      </w:r>
      <w:r w:rsidR="008878AC" w:rsidRPr="009F6FAE">
        <w:rPr>
          <w:rFonts w:ascii="Times New Roman" w:eastAsia="Calibri" w:hAnsi="Times New Roman" w:cs="Times New Roman"/>
          <w:sz w:val="24"/>
          <w:szCs w:val="24"/>
        </w:rPr>
        <w:t>22174,2</w:t>
      </w:r>
      <w:r w:rsidRPr="009F6FAE">
        <w:rPr>
          <w:rFonts w:ascii="Times New Roman" w:eastAsia="Calibri" w:hAnsi="Times New Roman" w:cs="Times New Roman"/>
          <w:sz w:val="24"/>
          <w:szCs w:val="24"/>
        </w:rPr>
        <w:t xml:space="preserve"> рубля (АППГ – </w:t>
      </w:r>
      <w:r w:rsidR="008878AC" w:rsidRPr="009F6FAE">
        <w:rPr>
          <w:rFonts w:ascii="Times New Roman" w:eastAsia="Calibri" w:hAnsi="Times New Roman" w:cs="Times New Roman"/>
          <w:sz w:val="24"/>
          <w:szCs w:val="24"/>
        </w:rPr>
        <w:t>20341,2</w:t>
      </w:r>
      <w:r w:rsidRPr="009F6FAE">
        <w:rPr>
          <w:rFonts w:ascii="Times New Roman" w:eastAsia="Calibri" w:hAnsi="Times New Roman" w:cs="Times New Roman"/>
          <w:sz w:val="24"/>
          <w:szCs w:val="24"/>
        </w:rPr>
        <w:t xml:space="preserve"> руб.).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По оперативным данным темп роста производства промышленной продукции за 2024 год составил 116,6 %, объем производства продукции составил 25 млрд. 716 млн. рублей (АППГ – 22 млрд. 051 млн. руб.). Объем отгруженных товаров собственного производства</w:t>
      </w:r>
      <w:r w:rsidR="002E7898" w:rsidRPr="009F6FAE">
        <w:rPr>
          <w:rFonts w:ascii="Times New Roman" w:eastAsia="Calibri" w:hAnsi="Times New Roman" w:cs="Times New Roman"/>
          <w:sz w:val="24"/>
          <w:szCs w:val="24"/>
        </w:rPr>
        <w:t xml:space="preserve"> выполненных работ и услуг собственными силами в </w:t>
      </w:r>
      <w:proofErr w:type="gramStart"/>
      <w:r w:rsidR="002E7898" w:rsidRPr="009F6FAE">
        <w:rPr>
          <w:rFonts w:ascii="Times New Roman" w:eastAsia="Calibri" w:hAnsi="Times New Roman" w:cs="Times New Roman"/>
          <w:sz w:val="24"/>
          <w:szCs w:val="24"/>
        </w:rPr>
        <w:t>промышленном</w:t>
      </w:r>
      <w:proofErr w:type="gramEnd"/>
      <w:r w:rsidR="002E7898" w:rsidRPr="009F6FAE">
        <w:rPr>
          <w:rFonts w:ascii="Times New Roman" w:eastAsia="Calibri" w:hAnsi="Times New Roman" w:cs="Times New Roman"/>
          <w:sz w:val="24"/>
          <w:szCs w:val="24"/>
        </w:rPr>
        <w:t xml:space="preserve"> производств (по организациям, не относящимся к субъектам малого предпринимательства, средняя численность работников которых превышает 15 человек) </w:t>
      </w:r>
      <w:r w:rsidRPr="009F6FAE">
        <w:rPr>
          <w:rFonts w:ascii="Times New Roman" w:eastAsia="Calibri" w:hAnsi="Times New Roman" w:cs="Times New Roman"/>
          <w:sz w:val="24"/>
          <w:szCs w:val="24"/>
        </w:rPr>
        <w:t xml:space="preserve"> составил </w:t>
      </w:r>
      <w:r w:rsidR="002E7898" w:rsidRPr="009F6FAE">
        <w:rPr>
          <w:rFonts w:ascii="Times New Roman" w:eastAsia="Calibri" w:hAnsi="Times New Roman" w:cs="Times New Roman"/>
          <w:sz w:val="24"/>
          <w:szCs w:val="24"/>
        </w:rPr>
        <w:t>21274,4</w:t>
      </w:r>
      <w:r w:rsidRPr="009F6FAE">
        <w:rPr>
          <w:rFonts w:ascii="Times New Roman" w:eastAsia="Calibri" w:hAnsi="Times New Roman" w:cs="Times New Roman"/>
          <w:sz w:val="24"/>
          <w:szCs w:val="24"/>
        </w:rPr>
        <w:t xml:space="preserve"> млн. рублей или </w:t>
      </w:r>
      <w:r w:rsidR="002E7898" w:rsidRPr="009F6FAE">
        <w:rPr>
          <w:rFonts w:ascii="Times New Roman" w:eastAsia="Calibri" w:hAnsi="Times New Roman" w:cs="Times New Roman"/>
          <w:sz w:val="24"/>
          <w:szCs w:val="24"/>
        </w:rPr>
        <w:t>113,8</w:t>
      </w:r>
      <w:r w:rsidRPr="009F6FAE">
        <w:rPr>
          <w:rFonts w:ascii="Times New Roman" w:eastAsia="Calibri" w:hAnsi="Times New Roman" w:cs="Times New Roman"/>
          <w:sz w:val="24"/>
          <w:szCs w:val="24"/>
        </w:rPr>
        <w:t>% к АППГ.</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Увеличили объемы производства продукции, выполненных работ и услуг: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  - ООО «Вурнары Завод СОМ» на 11,9 %,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  - ООО «Вурнарский мясокомбинат» на 12,3 %,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  - Филиал АО Фирма «</w:t>
      </w:r>
      <w:proofErr w:type="spellStart"/>
      <w:r w:rsidRPr="009F6FAE">
        <w:rPr>
          <w:rFonts w:ascii="Times New Roman" w:eastAsia="Calibri" w:hAnsi="Times New Roman" w:cs="Times New Roman"/>
          <w:color w:val="000000" w:themeColor="text1"/>
          <w:sz w:val="24"/>
          <w:szCs w:val="24"/>
        </w:rPr>
        <w:t>Авгус</w:t>
      </w:r>
      <w:proofErr w:type="gramStart"/>
      <w:r w:rsidRPr="009F6FAE">
        <w:rPr>
          <w:rFonts w:ascii="Times New Roman" w:eastAsia="Calibri" w:hAnsi="Times New Roman" w:cs="Times New Roman"/>
          <w:color w:val="000000" w:themeColor="text1"/>
          <w:sz w:val="24"/>
          <w:szCs w:val="24"/>
        </w:rPr>
        <w:t>т»</w:t>
      </w:r>
      <w:proofErr w:type="gramEnd"/>
      <w:r w:rsidRPr="009F6FAE">
        <w:rPr>
          <w:rFonts w:ascii="Times New Roman" w:eastAsia="Calibri" w:hAnsi="Times New Roman" w:cs="Times New Roman"/>
          <w:color w:val="000000" w:themeColor="text1"/>
          <w:sz w:val="24"/>
          <w:szCs w:val="24"/>
        </w:rPr>
        <w:t>ВЗСП</w:t>
      </w:r>
      <w:proofErr w:type="spellEnd"/>
      <w:r w:rsidRPr="009F6FAE">
        <w:rPr>
          <w:rFonts w:ascii="Times New Roman" w:eastAsia="Calibri" w:hAnsi="Times New Roman" w:cs="Times New Roman"/>
          <w:color w:val="000000" w:themeColor="text1"/>
          <w:sz w:val="24"/>
          <w:szCs w:val="24"/>
        </w:rPr>
        <w:t>» на 11,5%,</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  - Калининское РАЙПО на 10,7%,</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 Снижение наблюдается по ЗАО «</w:t>
      </w:r>
      <w:proofErr w:type="spellStart"/>
      <w:r w:rsidRPr="009F6FAE">
        <w:rPr>
          <w:rFonts w:ascii="Times New Roman" w:eastAsia="Calibri" w:hAnsi="Times New Roman" w:cs="Times New Roman"/>
          <w:color w:val="000000" w:themeColor="text1"/>
          <w:sz w:val="24"/>
          <w:szCs w:val="24"/>
        </w:rPr>
        <w:t>Чувашкабельмет</w:t>
      </w:r>
      <w:proofErr w:type="spellEnd"/>
      <w:r w:rsidRPr="009F6FAE">
        <w:rPr>
          <w:rFonts w:ascii="Times New Roman" w:eastAsia="Calibri" w:hAnsi="Times New Roman" w:cs="Times New Roman"/>
          <w:color w:val="000000" w:themeColor="text1"/>
          <w:sz w:val="24"/>
          <w:szCs w:val="24"/>
        </w:rPr>
        <w:t>»  на   8,7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За 2024 год оборот розничной торговли организаций, не относящихся к субъектам малого предпринимательства, составил 1386 млн. рублей или 99,1 % к уровню прошлого года.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Доля площади земельных участков, являющихся объектами налогообложения земельным налогом, в общей площади территории Вурнарского муниципального округа в 2024 году составила 86 %.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Сельское хозяйство является основным сектором экономики округа. В </w:t>
      </w:r>
      <w:proofErr w:type="spellStart"/>
      <w:r w:rsidRPr="009F6FAE">
        <w:rPr>
          <w:rFonts w:ascii="Times New Roman" w:eastAsia="Calibri" w:hAnsi="Times New Roman" w:cs="Times New Roman"/>
          <w:color w:val="000000" w:themeColor="text1"/>
          <w:sz w:val="24"/>
          <w:szCs w:val="24"/>
        </w:rPr>
        <w:t>Вурнарском</w:t>
      </w:r>
      <w:proofErr w:type="spellEnd"/>
      <w:r w:rsidRPr="009F6FAE">
        <w:rPr>
          <w:rFonts w:ascii="Times New Roman" w:eastAsia="Calibri" w:hAnsi="Times New Roman" w:cs="Times New Roman"/>
          <w:color w:val="000000" w:themeColor="text1"/>
          <w:sz w:val="24"/>
          <w:szCs w:val="24"/>
        </w:rPr>
        <w:t xml:space="preserve"> муниципальном округе 17 сельскохозяйственных предприятий,  39 фермерских хозяйств. Доля прибыльных сельскохозяйственных </w:t>
      </w:r>
      <w:proofErr w:type="gramStart"/>
      <w:r w:rsidRPr="009F6FAE">
        <w:rPr>
          <w:rFonts w:ascii="Times New Roman" w:eastAsia="Calibri" w:hAnsi="Times New Roman" w:cs="Times New Roman"/>
          <w:color w:val="000000" w:themeColor="text1"/>
          <w:sz w:val="24"/>
          <w:szCs w:val="24"/>
        </w:rPr>
        <w:t>организаций</w:t>
      </w:r>
      <w:proofErr w:type="gramEnd"/>
      <w:r w:rsidRPr="009F6FAE">
        <w:rPr>
          <w:rFonts w:ascii="Times New Roman" w:eastAsia="Calibri" w:hAnsi="Times New Roman" w:cs="Times New Roman"/>
          <w:color w:val="000000" w:themeColor="text1"/>
          <w:sz w:val="24"/>
          <w:szCs w:val="24"/>
        </w:rPr>
        <w:t xml:space="preserve"> в общем их числе в 2024 году составила 100 %.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На ремонт автомобильных дорог в 2024 году в границах населенных пунктов территориальных отделов израсходованы средства республиканского бюджета Чувашской Республики – 12 592,0  тыс. рублей, местного бюджета – 881,4  тыс. рублей. Отремонтировано 3,7 км автомобильных дорог.</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proofErr w:type="gramStart"/>
      <w:r w:rsidRPr="009F6FAE">
        <w:rPr>
          <w:rFonts w:ascii="Times New Roman" w:eastAsia="Calibri" w:hAnsi="Times New Roman" w:cs="Times New Roman"/>
          <w:color w:val="000000" w:themeColor="text1"/>
          <w:sz w:val="24"/>
          <w:szCs w:val="24"/>
        </w:rPr>
        <w:t>На ремонт автомобильных дорог вне границах населенных пунктов территориальных отделов израсходованы средства республиканского бюджета Чувашской Республики – 18980,8 тыс. рублей, местного бюджета Вурнарского муниципального округа - 1439,8 тыс. рублей.</w:t>
      </w:r>
      <w:proofErr w:type="gramEnd"/>
      <w:r w:rsidRPr="009F6FAE">
        <w:rPr>
          <w:rFonts w:ascii="Times New Roman" w:eastAsia="Calibri" w:hAnsi="Times New Roman" w:cs="Times New Roman"/>
          <w:color w:val="000000" w:themeColor="text1"/>
          <w:sz w:val="24"/>
          <w:szCs w:val="24"/>
        </w:rPr>
        <w:t xml:space="preserve"> Отремонтировано 2,492 км автомобильных дорог.</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lastRenderedPageBreak/>
        <w:t xml:space="preserve">В рамках реализации национального проекта  «Безопасные качественные дороги» в 2024 году отремонтированы участки автомобильных дорог на территории Вурнарского муниципального округа: «Калинино-Батырево-Яльчики», протяженностью 7,5 км, «Вурнары – </w:t>
      </w:r>
      <w:proofErr w:type="spellStart"/>
      <w:r w:rsidRPr="009F6FAE">
        <w:rPr>
          <w:rFonts w:ascii="Times New Roman" w:eastAsia="Calibri" w:hAnsi="Times New Roman" w:cs="Times New Roman"/>
          <w:color w:val="000000" w:themeColor="text1"/>
          <w:sz w:val="24"/>
          <w:szCs w:val="24"/>
        </w:rPr>
        <w:t>Убеево</w:t>
      </w:r>
      <w:proofErr w:type="spellEnd"/>
      <w:r w:rsidRPr="009F6FAE">
        <w:rPr>
          <w:rFonts w:ascii="Times New Roman" w:eastAsia="Calibri" w:hAnsi="Times New Roman" w:cs="Times New Roman"/>
          <w:color w:val="000000" w:themeColor="text1"/>
          <w:sz w:val="24"/>
          <w:szCs w:val="24"/>
        </w:rPr>
        <w:t xml:space="preserve"> - Красноармейское», протяженностью 8,6 км, приведены в нормативное состояние участок  автомобильной дороги в </w:t>
      </w:r>
      <w:proofErr w:type="spellStart"/>
      <w:r w:rsidRPr="009F6FAE">
        <w:rPr>
          <w:rFonts w:ascii="Times New Roman" w:eastAsia="Calibri" w:hAnsi="Times New Roman" w:cs="Times New Roman"/>
          <w:color w:val="000000" w:themeColor="text1"/>
          <w:sz w:val="24"/>
          <w:szCs w:val="24"/>
        </w:rPr>
        <w:t>Вурнарском</w:t>
      </w:r>
      <w:proofErr w:type="spellEnd"/>
      <w:r w:rsidRPr="009F6FAE">
        <w:rPr>
          <w:rFonts w:ascii="Times New Roman" w:eastAsia="Calibri" w:hAnsi="Times New Roman" w:cs="Times New Roman"/>
          <w:color w:val="000000" w:themeColor="text1"/>
          <w:sz w:val="24"/>
          <w:szCs w:val="24"/>
        </w:rPr>
        <w:t xml:space="preserve"> муниципальном округе «</w:t>
      </w:r>
      <w:proofErr w:type="gramStart"/>
      <w:r w:rsidRPr="009F6FAE">
        <w:rPr>
          <w:rFonts w:ascii="Times New Roman" w:eastAsia="Calibri" w:hAnsi="Times New Roman" w:cs="Times New Roman"/>
          <w:color w:val="000000" w:themeColor="text1"/>
          <w:sz w:val="24"/>
          <w:szCs w:val="24"/>
        </w:rPr>
        <w:t>Чебоксары-Сурское</w:t>
      </w:r>
      <w:proofErr w:type="gramEnd"/>
      <w:r w:rsidRPr="009F6FAE">
        <w:rPr>
          <w:rFonts w:ascii="Times New Roman" w:eastAsia="Calibri" w:hAnsi="Times New Roman" w:cs="Times New Roman"/>
          <w:color w:val="000000" w:themeColor="text1"/>
          <w:sz w:val="24"/>
          <w:szCs w:val="24"/>
        </w:rPr>
        <w:t>», протяженностью 1,5 км.</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xml:space="preserve">Доля населения, проживающего в населенных пунктах, не имеющих регулярного автобусного и (или) железнодорожного сообщения с </w:t>
      </w:r>
      <w:proofErr w:type="spellStart"/>
      <w:r w:rsidRPr="009F6FAE">
        <w:rPr>
          <w:rFonts w:ascii="Times New Roman" w:eastAsia="Calibri" w:hAnsi="Times New Roman" w:cs="Times New Roman"/>
          <w:color w:val="000000" w:themeColor="text1"/>
          <w:sz w:val="24"/>
          <w:szCs w:val="24"/>
        </w:rPr>
        <w:t>пгт</w:t>
      </w:r>
      <w:proofErr w:type="spellEnd"/>
      <w:r w:rsidRPr="009F6FAE">
        <w:rPr>
          <w:rFonts w:ascii="Times New Roman" w:eastAsia="Calibri" w:hAnsi="Times New Roman" w:cs="Times New Roman"/>
          <w:color w:val="000000" w:themeColor="text1"/>
          <w:sz w:val="24"/>
          <w:szCs w:val="24"/>
        </w:rPr>
        <w:t>. Вурнары, в общей численности населения Вурнарского района в 2024 году составила 0 %.</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Среднемесячная номинальная начисленная заработная плата работников в 2024 году составила:</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крупных и средних предприятий и некоммерческих организаций – 54604,9 рублей  (АППГ – 45410,3 рубля);</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муниципальных дошкольных образовательных учреждений – 31195,6 рублей (АППГ – 26683,3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муниципальных общеобразовательных учреждений – 42663,45 рублей (АППГ – 34293,39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учителей муниципальных общеобразовательных учреждений – 50884,53 рублей (АППГ – 41192,08 рубль);</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муниципальных учреждений культуры и искусства – 40084,64 рублей (АППГ – 33662,14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color w:val="000000" w:themeColor="text1"/>
          <w:sz w:val="24"/>
          <w:szCs w:val="24"/>
        </w:rPr>
      </w:pPr>
      <w:r w:rsidRPr="009F6FAE">
        <w:rPr>
          <w:rFonts w:ascii="Times New Roman" w:eastAsia="Calibri" w:hAnsi="Times New Roman" w:cs="Times New Roman"/>
          <w:color w:val="000000" w:themeColor="text1"/>
          <w:sz w:val="24"/>
          <w:szCs w:val="24"/>
        </w:rPr>
        <w:t>- муниципальных учреждений физической культуры и спорта – 35750 рублей (АППГ – 27523,69 рублей).</w:t>
      </w:r>
    </w:p>
    <w:p w:rsidR="00CE12A7" w:rsidRPr="009F6FAE" w:rsidRDefault="00CE12A7" w:rsidP="009F6FAE">
      <w:pPr>
        <w:pStyle w:val="af8"/>
        <w:ind w:firstLine="709"/>
        <w:jc w:val="both"/>
        <w:rPr>
          <w:rFonts w:ascii="Times New Roman" w:hAnsi="Times New Roman"/>
          <w:sz w:val="24"/>
          <w:szCs w:val="24"/>
        </w:rPr>
      </w:pPr>
    </w:p>
    <w:p w:rsidR="00CE12A7" w:rsidRPr="009F6FAE" w:rsidRDefault="00E14A52" w:rsidP="009F6FAE">
      <w:pPr>
        <w:pStyle w:val="af8"/>
        <w:ind w:firstLine="709"/>
        <w:jc w:val="center"/>
        <w:rPr>
          <w:rFonts w:ascii="Times New Roman" w:hAnsi="Times New Roman"/>
          <w:b/>
          <w:sz w:val="24"/>
          <w:szCs w:val="24"/>
        </w:rPr>
      </w:pPr>
      <w:r w:rsidRPr="009F6FAE">
        <w:rPr>
          <w:rFonts w:ascii="Times New Roman" w:hAnsi="Times New Roman"/>
          <w:b/>
          <w:sz w:val="24"/>
          <w:szCs w:val="24"/>
        </w:rPr>
        <w:t>Образование</w:t>
      </w:r>
      <w:r w:rsidR="009F6FAE">
        <w:rPr>
          <w:rFonts w:ascii="Times New Roman" w:hAnsi="Times New Roman"/>
          <w:b/>
          <w:sz w:val="24"/>
          <w:szCs w:val="24"/>
        </w:rPr>
        <w:t>.</w:t>
      </w:r>
    </w:p>
    <w:p w:rsidR="009F6FAE" w:rsidRDefault="00E14A52" w:rsidP="009F6FAE">
      <w:pPr>
        <w:spacing w:after="0" w:line="240" w:lineRule="auto"/>
        <w:ind w:firstLine="709"/>
        <w:contextualSpacing/>
        <w:jc w:val="center"/>
        <w:rPr>
          <w:rFonts w:ascii="Times New Roman" w:hAnsi="Times New Roman" w:cs="Times New Roman"/>
          <w:b/>
          <w:sz w:val="24"/>
          <w:szCs w:val="24"/>
        </w:rPr>
      </w:pPr>
      <w:r w:rsidRPr="009F6FAE">
        <w:rPr>
          <w:rFonts w:ascii="Times New Roman" w:hAnsi="Times New Roman" w:cs="Times New Roman"/>
          <w:b/>
          <w:sz w:val="24"/>
          <w:szCs w:val="24"/>
        </w:rPr>
        <w:t>Дошкольное образование.</w:t>
      </w:r>
    </w:p>
    <w:p w:rsidR="009F6FAE" w:rsidRDefault="009F6FAE" w:rsidP="009F6FAE">
      <w:pPr>
        <w:spacing w:after="0" w:line="240" w:lineRule="auto"/>
        <w:ind w:firstLine="709"/>
        <w:contextualSpacing/>
        <w:jc w:val="center"/>
        <w:rPr>
          <w:rFonts w:ascii="Times New Roman" w:hAnsi="Times New Roman" w:cs="Times New Roman"/>
          <w:sz w:val="24"/>
          <w:szCs w:val="24"/>
        </w:rPr>
      </w:pP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w:t>
      </w:r>
      <w:proofErr w:type="spellStart"/>
      <w:r w:rsidRPr="009F6FAE">
        <w:rPr>
          <w:rFonts w:ascii="Times New Roman" w:eastAsia="Calibri" w:hAnsi="Times New Roman" w:cs="Times New Roman"/>
          <w:sz w:val="24"/>
          <w:szCs w:val="24"/>
        </w:rPr>
        <w:t>Вурнарском</w:t>
      </w:r>
      <w:proofErr w:type="spellEnd"/>
      <w:r w:rsidRPr="009F6FAE">
        <w:rPr>
          <w:rFonts w:ascii="Times New Roman" w:eastAsia="Calibri" w:hAnsi="Times New Roman" w:cs="Times New Roman"/>
          <w:sz w:val="24"/>
          <w:szCs w:val="24"/>
        </w:rPr>
        <w:t xml:space="preserve"> муниципальном округе 8 детских садов, при 8 школах работают  дошкольные </w:t>
      </w:r>
      <w:proofErr w:type="gramStart"/>
      <w:r w:rsidRPr="009F6FAE">
        <w:rPr>
          <w:rFonts w:ascii="Times New Roman" w:eastAsia="Calibri" w:hAnsi="Times New Roman" w:cs="Times New Roman"/>
          <w:sz w:val="24"/>
          <w:szCs w:val="24"/>
        </w:rPr>
        <w:t>группы полного дня</w:t>
      </w:r>
      <w:proofErr w:type="gramEnd"/>
      <w:r w:rsidRPr="009F6FAE">
        <w:rPr>
          <w:rFonts w:ascii="Times New Roman" w:eastAsia="Calibri" w:hAnsi="Times New Roman" w:cs="Times New Roman"/>
          <w:sz w:val="24"/>
          <w:szCs w:val="24"/>
        </w:rPr>
        <w:t xml:space="preserve"> и кратковременного пребывания.</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8 детских садах 49 дошкольных </w:t>
      </w:r>
      <w:proofErr w:type="gramStart"/>
      <w:r w:rsidRPr="009F6FAE">
        <w:rPr>
          <w:rFonts w:ascii="Times New Roman" w:eastAsia="Calibri" w:hAnsi="Times New Roman" w:cs="Times New Roman"/>
          <w:sz w:val="24"/>
          <w:szCs w:val="24"/>
        </w:rPr>
        <w:t>групп полного дня</w:t>
      </w:r>
      <w:proofErr w:type="gramEnd"/>
      <w:r w:rsidRPr="009F6FAE">
        <w:rPr>
          <w:rFonts w:ascii="Times New Roman" w:eastAsia="Calibri" w:hAnsi="Times New Roman" w:cs="Times New Roman"/>
          <w:sz w:val="24"/>
          <w:szCs w:val="24"/>
        </w:rPr>
        <w:t xml:space="preserve">, в них 898 детей.  При  школах работают 12 </w:t>
      </w:r>
      <w:proofErr w:type="gramStart"/>
      <w:r w:rsidRPr="009F6FAE">
        <w:rPr>
          <w:rFonts w:ascii="Times New Roman" w:eastAsia="Calibri" w:hAnsi="Times New Roman" w:cs="Times New Roman"/>
          <w:sz w:val="24"/>
          <w:szCs w:val="24"/>
        </w:rPr>
        <w:t>групп полного дня</w:t>
      </w:r>
      <w:proofErr w:type="gramEnd"/>
      <w:r w:rsidRPr="009F6FAE">
        <w:rPr>
          <w:rFonts w:ascii="Times New Roman" w:eastAsia="Calibri" w:hAnsi="Times New Roman" w:cs="Times New Roman"/>
          <w:sz w:val="24"/>
          <w:szCs w:val="24"/>
        </w:rPr>
        <w:t xml:space="preserve"> и 5 групп кратковременного пребывания, в них 132 ребенка. </w:t>
      </w:r>
      <w:proofErr w:type="gramStart"/>
      <w:r w:rsidRPr="009F6FAE">
        <w:rPr>
          <w:rFonts w:ascii="Times New Roman" w:eastAsia="Calibri" w:hAnsi="Times New Roman" w:cs="Times New Roman"/>
          <w:sz w:val="24"/>
          <w:szCs w:val="24"/>
        </w:rPr>
        <w:t>Охвачены</w:t>
      </w:r>
      <w:proofErr w:type="gramEnd"/>
      <w:r w:rsidRPr="009F6FAE">
        <w:rPr>
          <w:rFonts w:ascii="Times New Roman" w:eastAsia="Calibri" w:hAnsi="Times New Roman" w:cs="Times New Roman"/>
          <w:sz w:val="24"/>
          <w:szCs w:val="24"/>
        </w:rPr>
        <w:t xml:space="preserve"> дошкольным образованием 1030 детей.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очереди на получение мест в дошкольные организации по состоянию на 01.01.2025 г. зарегистрировано 44 ребенка в возрасте до 3 лет (на 01.12.2024 г. – 25 детей), из них в возрасте до 1,5 лет – 29 детей. Очередность детей старше 1,5 лет – 15 детей. В дошкольном образовании работают 118 педагогов.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Во всех 8 детских садах на средства, собранные в рамках акции «Взрослые – детям!» и в ходе благотворительного марафона «Именем детства, во имя детства» созданы </w:t>
      </w:r>
      <w:proofErr w:type="spellStart"/>
      <w:r w:rsidRPr="009F6FAE">
        <w:rPr>
          <w:rFonts w:ascii="Times New Roman" w:eastAsia="Calibri" w:hAnsi="Times New Roman" w:cs="Times New Roman"/>
          <w:sz w:val="24"/>
          <w:szCs w:val="24"/>
        </w:rPr>
        <w:t>агролаборатории</w:t>
      </w:r>
      <w:proofErr w:type="spellEnd"/>
      <w:r w:rsidRPr="009F6FAE">
        <w:rPr>
          <w:rFonts w:ascii="Times New Roman" w:eastAsia="Calibri" w:hAnsi="Times New Roman" w:cs="Times New Roman"/>
          <w:sz w:val="24"/>
          <w:szCs w:val="24"/>
        </w:rPr>
        <w:t xml:space="preserve">.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На их приобретение направлены средства в размере 668 995 руб. За </w:t>
      </w:r>
      <w:proofErr w:type="spellStart"/>
      <w:r w:rsidRPr="009F6FAE">
        <w:rPr>
          <w:rFonts w:ascii="Times New Roman" w:eastAsia="Calibri" w:hAnsi="Times New Roman" w:cs="Times New Roman"/>
          <w:sz w:val="24"/>
          <w:szCs w:val="24"/>
        </w:rPr>
        <w:t>агролабораториями</w:t>
      </w:r>
      <w:proofErr w:type="spellEnd"/>
      <w:r w:rsidRPr="009F6FAE">
        <w:rPr>
          <w:rFonts w:ascii="Times New Roman" w:eastAsia="Calibri" w:hAnsi="Times New Roman" w:cs="Times New Roman"/>
          <w:sz w:val="24"/>
          <w:szCs w:val="24"/>
        </w:rPr>
        <w:t xml:space="preserve"> наставниками закреплены предприятия АПК, находящиеся на территории округа. 560 детей дошкольного возраста задействованы в проекте «</w:t>
      </w:r>
      <w:proofErr w:type="spellStart"/>
      <w:r w:rsidRPr="009F6FAE">
        <w:rPr>
          <w:rFonts w:ascii="Times New Roman" w:eastAsia="Calibri" w:hAnsi="Times New Roman" w:cs="Times New Roman"/>
          <w:sz w:val="24"/>
          <w:szCs w:val="24"/>
        </w:rPr>
        <w:t>Агролаборатории</w:t>
      </w:r>
      <w:proofErr w:type="spellEnd"/>
      <w:r w:rsidRPr="009F6FAE">
        <w:rPr>
          <w:rFonts w:ascii="Times New Roman" w:eastAsia="Calibri" w:hAnsi="Times New Roman" w:cs="Times New Roman"/>
          <w:sz w:val="24"/>
          <w:szCs w:val="24"/>
        </w:rPr>
        <w:t>».</w:t>
      </w:r>
    </w:p>
    <w:p w:rsidR="00CE12A7"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в 2024 году составила 25 %.</w:t>
      </w:r>
    </w:p>
    <w:p w:rsidR="009F6FAE" w:rsidRPr="009F6FAE" w:rsidRDefault="009F6FAE" w:rsidP="009F6FAE">
      <w:pPr>
        <w:spacing w:after="0" w:line="240" w:lineRule="auto"/>
        <w:ind w:firstLine="709"/>
        <w:contextualSpacing/>
        <w:jc w:val="both"/>
        <w:rPr>
          <w:rFonts w:ascii="Times New Roman" w:eastAsia="Calibri" w:hAnsi="Times New Roman" w:cs="Times New Roman"/>
          <w:sz w:val="24"/>
          <w:szCs w:val="24"/>
        </w:rPr>
      </w:pPr>
    </w:p>
    <w:p w:rsidR="009F6FAE" w:rsidRDefault="00E14A52" w:rsidP="009F6FAE">
      <w:pPr>
        <w:spacing w:after="0" w:line="240" w:lineRule="auto"/>
        <w:ind w:firstLine="709"/>
        <w:contextualSpacing/>
        <w:jc w:val="center"/>
        <w:rPr>
          <w:rFonts w:ascii="Times New Roman" w:hAnsi="Times New Roman" w:cs="Times New Roman"/>
          <w:b/>
          <w:sz w:val="24"/>
          <w:szCs w:val="24"/>
        </w:rPr>
      </w:pPr>
      <w:r w:rsidRPr="009F6FAE">
        <w:rPr>
          <w:rFonts w:ascii="Times New Roman" w:hAnsi="Times New Roman" w:cs="Times New Roman"/>
          <w:b/>
          <w:sz w:val="24"/>
          <w:szCs w:val="24"/>
        </w:rPr>
        <w:t>Общее и дополнительное образование.</w:t>
      </w:r>
    </w:p>
    <w:p w:rsidR="009F6FAE" w:rsidRDefault="009F6FAE" w:rsidP="009F6FAE">
      <w:pPr>
        <w:spacing w:after="0" w:line="240" w:lineRule="auto"/>
        <w:ind w:firstLine="709"/>
        <w:contextualSpacing/>
        <w:jc w:val="center"/>
        <w:rPr>
          <w:rFonts w:ascii="Times New Roman" w:hAnsi="Times New Roman" w:cs="Times New Roman"/>
          <w:sz w:val="24"/>
          <w:szCs w:val="24"/>
        </w:rPr>
      </w:pP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системе общего образования - 16 школ. В них обучается 3168 учащихся,  в том числе во вторую смену – 74 ребенка (2,3 % от общего числа обучающихся).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lastRenderedPageBreak/>
        <w:t>Число учащихся на 1 учителя по муниципалитету составляет 11,4: диапазон данного показателя - с 3,1 до 20,6.  Наполняемость классов составляет 14,53 чел. Притом, при средней наполняемости классов в 4,17 в самой малочисленной малокомплектной школе муниципалитета.</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Две средние школы в п. Вурнары переполнены. Необходимо строительство </w:t>
      </w:r>
      <w:proofErr w:type="spellStart"/>
      <w:r w:rsidRPr="009F6FAE">
        <w:rPr>
          <w:rFonts w:ascii="Times New Roman" w:eastAsia="Calibri" w:hAnsi="Times New Roman" w:cs="Times New Roman"/>
          <w:sz w:val="24"/>
          <w:szCs w:val="24"/>
        </w:rPr>
        <w:t>пристроя</w:t>
      </w:r>
      <w:proofErr w:type="spellEnd"/>
      <w:r w:rsidRPr="009F6FAE">
        <w:rPr>
          <w:rFonts w:ascii="Times New Roman" w:eastAsia="Calibri" w:hAnsi="Times New Roman" w:cs="Times New Roman"/>
          <w:sz w:val="24"/>
          <w:szCs w:val="24"/>
        </w:rPr>
        <w:t xml:space="preserve"> к </w:t>
      </w:r>
      <w:proofErr w:type="spellStart"/>
      <w:r w:rsidRPr="009F6FAE">
        <w:rPr>
          <w:rFonts w:ascii="Times New Roman" w:eastAsia="Calibri" w:hAnsi="Times New Roman" w:cs="Times New Roman"/>
          <w:sz w:val="24"/>
          <w:szCs w:val="24"/>
        </w:rPr>
        <w:t>Вурнарской</w:t>
      </w:r>
      <w:proofErr w:type="spellEnd"/>
      <w:r w:rsidRPr="009F6FAE">
        <w:rPr>
          <w:rFonts w:ascii="Times New Roman" w:eastAsia="Calibri" w:hAnsi="Times New Roman" w:cs="Times New Roman"/>
          <w:sz w:val="24"/>
          <w:szCs w:val="24"/>
        </w:rPr>
        <w:t xml:space="preserve"> средней школе № 1 на 400 мест.</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w:t>
      </w:r>
      <w:proofErr w:type="spellStart"/>
      <w:r w:rsidRPr="009F6FAE">
        <w:rPr>
          <w:rFonts w:ascii="Times New Roman" w:eastAsia="Calibri" w:hAnsi="Times New Roman" w:cs="Times New Roman"/>
          <w:sz w:val="24"/>
          <w:szCs w:val="24"/>
        </w:rPr>
        <w:t>Вурнарской</w:t>
      </w:r>
      <w:proofErr w:type="spellEnd"/>
      <w:r w:rsidRPr="009F6FAE">
        <w:rPr>
          <w:rFonts w:ascii="Times New Roman" w:eastAsia="Calibri" w:hAnsi="Times New Roman" w:cs="Times New Roman"/>
          <w:sz w:val="24"/>
          <w:szCs w:val="24"/>
        </w:rPr>
        <w:t xml:space="preserve"> СОШ № 2 наполняемость составляет 25,81; в </w:t>
      </w:r>
      <w:proofErr w:type="spellStart"/>
      <w:r w:rsidRPr="009F6FAE">
        <w:rPr>
          <w:rFonts w:ascii="Times New Roman" w:eastAsia="Calibri" w:hAnsi="Times New Roman" w:cs="Times New Roman"/>
          <w:sz w:val="24"/>
          <w:szCs w:val="24"/>
        </w:rPr>
        <w:t>Вурнарской</w:t>
      </w:r>
      <w:proofErr w:type="spellEnd"/>
      <w:r w:rsidRPr="009F6FAE">
        <w:rPr>
          <w:rFonts w:ascii="Times New Roman" w:eastAsia="Calibri" w:hAnsi="Times New Roman" w:cs="Times New Roman"/>
          <w:sz w:val="24"/>
          <w:szCs w:val="24"/>
        </w:rPr>
        <w:t xml:space="preserve"> СОШ № 1 - 25,16).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Здание планировалось начать строить в 2024 году и завершить  в 2025 году. Помощь в оснащении специализированных классов современным учебным оборудованием готово было оказать АО Фирма «Август» «Вурнарский завод смесевых препаратов». Тендер на строительство </w:t>
      </w:r>
      <w:proofErr w:type="spellStart"/>
      <w:r w:rsidRPr="009F6FAE">
        <w:rPr>
          <w:rFonts w:ascii="Times New Roman" w:eastAsia="Calibri" w:hAnsi="Times New Roman" w:cs="Times New Roman"/>
          <w:sz w:val="24"/>
          <w:szCs w:val="24"/>
        </w:rPr>
        <w:t>пристроя</w:t>
      </w:r>
      <w:proofErr w:type="spellEnd"/>
      <w:r w:rsidRPr="009F6FAE">
        <w:rPr>
          <w:rFonts w:ascii="Times New Roman" w:eastAsia="Calibri" w:hAnsi="Times New Roman" w:cs="Times New Roman"/>
          <w:sz w:val="24"/>
          <w:szCs w:val="24"/>
        </w:rPr>
        <w:t xml:space="preserve"> на 400 мест выставлен КУ ЧР «Региональный центр закупок Чувашской Республики», его начальная цена составляет 304828247,44 руб.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Школы укомплектованы кадрами, в них работают 535 работников. Увеличилось количество учителей в возрасте до 35 лет.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текущем году поступили 4 молодых специалиста, из них 2 – по договорам целевого обучения.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В 15 школах действуют советники директоров по воспитанию и взаимодействию с детскими общественными объединениями.</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 составила 0 %.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составила 100 %.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 составила 37,5 %.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Доля детей первой и второй групп здоровья в общей </w:t>
      </w:r>
      <w:proofErr w:type="gramStart"/>
      <w:r w:rsidRPr="009F6FAE">
        <w:rPr>
          <w:rFonts w:ascii="Times New Roman" w:eastAsia="Calibri" w:hAnsi="Times New Roman" w:cs="Times New Roman"/>
          <w:sz w:val="24"/>
          <w:szCs w:val="24"/>
        </w:rPr>
        <w:t>численности</w:t>
      </w:r>
      <w:proofErr w:type="gramEnd"/>
      <w:r w:rsidRPr="009F6FAE">
        <w:rPr>
          <w:rFonts w:ascii="Times New Roman" w:eastAsia="Calibri" w:hAnsi="Times New Roman" w:cs="Times New Roman"/>
          <w:sz w:val="24"/>
          <w:szCs w:val="24"/>
        </w:rPr>
        <w:t xml:space="preserve"> обучающихся в муниципальных общеобразовательных учреждениях составила 100 %.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Для обучающихся в муниципальных общеобразовательных учреждениях, занимающихся во вторую (третью) смену, в общей </w:t>
      </w:r>
      <w:proofErr w:type="gramStart"/>
      <w:r w:rsidRPr="009F6FAE">
        <w:rPr>
          <w:rFonts w:ascii="Times New Roman" w:eastAsia="Calibri" w:hAnsi="Times New Roman" w:cs="Times New Roman"/>
          <w:sz w:val="24"/>
          <w:szCs w:val="24"/>
        </w:rPr>
        <w:t>численности</w:t>
      </w:r>
      <w:proofErr w:type="gramEnd"/>
      <w:r w:rsidRPr="009F6FAE">
        <w:rPr>
          <w:rFonts w:ascii="Times New Roman" w:eastAsia="Calibri" w:hAnsi="Times New Roman" w:cs="Times New Roman"/>
          <w:sz w:val="24"/>
          <w:szCs w:val="24"/>
        </w:rPr>
        <w:t xml:space="preserve"> обучающихся в муниципальных общеобразовательных учреждениях составила 2,33 %.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Расходы бюджета муниципального образование на общее образование в расчете на 1 обучающегося в муниципальных общеобразовательных учреждениях составили 119,3 тыс.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составила 81,86 %.</w:t>
      </w:r>
    </w:p>
    <w:p w:rsidR="00CE12A7" w:rsidRPr="009F6FAE" w:rsidRDefault="00CE12A7" w:rsidP="009F6FAE">
      <w:pPr>
        <w:spacing w:after="0" w:line="240" w:lineRule="auto"/>
        <w:ind w:firstLine="709"/>
        <w:jc w:val="both"/>
        <w:rPr>
          <w:rFonts w:ascii="Times New Roman" w:hAnsi="Times New Roman" w:cs="Times New Roman"/>
          <w:sz w:val="24"/>
          <w:szCs w:val="24"/>
        </w:rPr>
      </w:pPr>
    </w:p>
    <w:p w:rsidR="00CE12A7" w:rsidRDefault="00E14A52" w:rsidP="009F6FAE">
      <w:pPr>
        <w:pStyle w:val="afd"/>
        <w:spacing w:after="0" w:line="240" w:lineRule="auto"/>
        <w:ind w:firstLine="709"/>
        <w:jc w:val="center"/>
        <w:rPr>
          <w:rFonts w:ascii="Times New Roman" w:hAnsi="Times New Roman" w:cs="Times New Roman"/>
          <w:b/>
          <w:sz w:val="24"/>
          <w:szCs w:val="24"/>
        </w:rPr>
      </w:pPr>
      <w:r w:rsidRPr="009F6FAE">
        <w:rPr>
          <w:rFonts w:ascii="Times New Roman" w:hAnsi="Times New Roman" w:cs="Times New Roman"/>
          <w:b/>
          <w:sz w:val="24"/>
          <w:szCs w:val="24"/>
        </w:rPr>
        <w:t>Культура.</w:t>
      </w:r>
    </w:p>
    <w:p w:rsidR="009F6FAE" w:rsidRPr="009F6FAE" w:rsidRDefault="009F6FAE" w:rsidP="009F6FAE">
      <w:pPr>
        <w:pStyle w:val="afd"/>
        <w:spacing w:after="0" w:line="240" w:lineRule="auto"/>
        <w:ind w:firstLine="709"/>
        <w:jc w:val="center"/>
        <w:rPr>
          <w:rFonts w:ascii="Times New Roman" w:hAnsi="Times New Roman" w:cs="Times New Roman"/>
          <w:b/>
          <w:sz w:val="24"/>
          <w:szCs w:val="24"/>
        </w:rPr>
      </w:pP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В округе функционирует 39 культурно -  досуговых учреждений, 29  библиотек, архив, историко-краеведческий народный музей, школа искусств.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В рамках реализации национального проекта  «Культура»:</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 построен сельский Дом культуры на 150 посадочных мест в деревне </w:t>
      </w:r>
      <w:proofErr w:type="spellStart"/>
      <w:r w:rsidRPr="009F6FAE">
        <w:rPr>
          <w:rFonts w:ascii="Times New Roman" w:eastAsia="Calibri" w:hAnsi="Times New Roman" w:cs="Times New Roman"/>
          <w:sz w:val="24"/>
          <w:szCs w:val="24"/>
        </w:rPr>
        <w:t>Буртасы</w:t>
      </w:r>
      <w:proofErr w:type="spellEnd"/>
      <w:r w:rsidRPr="009F6FAE">
        <w:rPr>
          <w:rFonts w:ascii="Times New Roman" w:eastAsia="Calibri" w:hAnsi="Times New Roman" w:cs="Times New Roman"/>
          <w:sz w:val="24"/>
          <w:szCs w:val="24"/>
        </w:rPr>
        <w:t>. На строительство было предусмотрено 29,2 млн. рублей, в том числе из федерального бюджета – 28,9 млн.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 модернизирована </w:t>
      </w:r>
      <w:proofErr w:type="spellStart"/>
      <w:r w:rsidRPr="009F6FAE">
        <w:rPr>
          <w:rFonts w:ascii="Times New Roman" w:eastAsia="Calibri" w:hAnsi="Times New Roman" w:cs="Times New Roman"/>
          <w:sz w:val="24"/>
          <w:szCs w:val="24"/>
        </w:rPr>
        <w:t>Вурнарская</w:t>
      </w:r>
      <w:proofErr w:type="spellEnd"/>
      <w:r w:rsidRPr="009F6FAE">
        <w:rPr>
          <w:rFonts w:ascii="Times New Roman" w:eastAsia="Calibri" w:hAnsi="Times New Roman" w:cs="Times New Roman"/>
          <w:sz w:val="24"/>
          <w:szCs w:val="24"/>
        </w:rPr>
        <w:t xml:space="preserve">  Центральная библиотека. На создание библиотеки нового поколения было выделено 10,0 млн. рублей за счет средств резервного фонда Правительства Российской Федерации.</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lastRenderedPageBreak/>
        <w:t>В рамках государственной программы Чувашской Республики «Развитие культуры:</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 произведён капитальный ремонт </w:t>
      </w:r>
      <w:proofErr w:type="spellStart"/>
      <w:r w:rsidRPr="009F6FAE">
        <w:rPr>
          <w:rFonts w:ascii="Times New Roman" w:eastAsia="Calibri" w:hAnsi="Times New Roman" w:cs="Times New Roman"/>
          <w:sz w:val="24"/>
          <w:szCs w:val="24"/>
        </w:rPr>
        <w:t>Альмень-Сунарского</w:t>
      </w:r>
      <w:proofErr w:type="spellEnd"/>
      <w:r w:rsidRPr="009F6FAE">
        <w:rPr>
          <w:rFonts w:ascii="Times New Roman" w:eastAsia="Calibri" w:hAnsi="Times New Roman" w:cs="Times New Roman"/>
          <w:sz w:val="24"/>
          <w:szCs w:val="24"/>
        </w:rPr>
        <w:t xml:space="preserve"> сельского клуба на сумму 2,3 млн. рублей, </w:t>
      </w:r>
      <w:proofErr w:type="spellStart"/>
      <w:r w:rsidRPr="009F6FAE">
        <w:rPr>
          <w:rFonts w:ascii="Times New Roman" w:eastAsia="Calibri" w:hAnsi="Times New Roman" w:cs="Times New Roman"/>
          <w:sz w:val="24"/>
          <w:szCs w:val="24"/>
        </w:rPr>
        <w:t>Янгорчинского</w:t>
      </w:r>
      <w:proofErr w:type="spellEnd"/>
      <w:r w:rsidRPr="009F6FAE">
        <w:rPr>
          <w:rFonts w:ascii="Times New Roman" w:eastAsia="Calibri" w:hAnsi="Times New Roman" w:cs="Times New Roman"/>
          <w:sz w:val="24"/>
          <w:szCs w:val="24"/>
        </w:rPr>
        <w:t xml:space="preserve"> сельского Дома культуры – 6,9 млн. рублей, Калининского сельского Дома культуры – 10,2 млн.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проведен текущий ремонт 8 клубных культурно-досуговых учреждений на сумму 18,7 млн. рублей, модернизировано 12 клубов и домов культуры на сумму 4,8 млн.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произведен ремонт 4 библиотек и закуплено оборудование для 6 библиотек на общую сумму 9,2 млн. рублей;</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 проведен ремонт детской школы искусств и закуплено оборудование, учебная литература, музыкальные инструменты на общую сумму 1,2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 в 2024 году за счет субсидии, выделенной из республиканского бюджета Чувашской Республики, в размере 5,0 млн. руб. открыта модельная библиотека на базе </w:t>
      </w:r>
      <w:proofErr w:type="spellStart"/>
      <w:r w:rsidRPr="009F6FAE">
        <w:rPr>
          <w:rFonts w:ascii="Times New Roman" w:eastAsia="Calibri" w:hAnsi="Times New Roman" w:cs="Times New Roman"/>
          <w:sz w:val="24"/>
          <w:szCs w:val="24"/>
        </w:rPr>
        <w:t>Янгорчинскойсельской</w:t>
      </w:r>
      <w:proofErr w:type="spellEnd"/>
      <w:r w:rsidRPr="009F6FAE">
        <w:rPr>
          <w:rFonts w:ascii="Times New Roman" w:eastAsia="Calibri" w:hAnsi="Times New Roman" w:cs="Times New Roman"/>
          <w:sz w:val="24"/>
          <w:szCs w:val="24"/>
        </w:rPr>
        <w:t xml:space="preserve"> библиотеки, кроме того построен и оснащен </w:t>
      </w:r>
      <w:proofErr w:type="spellStart"/>
      <w:r w:rsidRPr="009F6FAE">
        <w:rPr>
          <w:rFonts w:ascii="Times New Roman" w:eastAsia="Calibri" w:hAnsi="Times New Roman" w:cs="Times New Roman"/>
          <w:sz w:val="24"/>
          <w:szCs w:val="24"/>
        </w:rPr>
        <w:t>оборудованиемсельский</w:t>
      </w:r>
      <w:proofErr w:type="spellEnd"/>
      <w:r w:rsidRPr="009F6FAE">
        <w:rPr>
          <w:rFonts w:ascii="Times New Roman" w:eastAsia="Calibri" w:hAnsi="Times New Roman" w:cs="Times New Roman"/>
          <w:sz w:val="24"/>
          <w:szCs w:val="24"/>
        </w:rPr>
        <w:t xml:space="preserve"> Дом культуры на 49 мест в </w:t>
      </w:r>
      <w:proofErr w:type="spellStart"/>
      <w:r w:rsidRPr="009F6FAE">
        <w:rPr>
          <w:rFonts w:ascii="Times New Roman" w:eastAsia="Calibri" w:hAnsi="Times New Roman" w:cs="Times New Roman"/>
          <w:sz w:val="24"/>
          <w:szCs w:val="24"/>
        </w:rPr>
        <w:t>д</w:t>
      </w:r>
      <w:proofErr w:type="gramStart"/>
      <w:r w:rsidRPr="009F6FAE">
        <w:rPr>
          <w:rFonts w:ascii="Times New Roman" w:eastAsia="Calibri" w:hAnsi="Times New Roman" w:cs="Times New Roman"/>
          <w:sz w:val="24"/>
          <w:szCs w:val="24"/>
        </w:rPr>
        <w:t>.О</w:t>
      </w:r>
      <w:proofErr w:type="gramEnd"/>
      <w:r w:rsidRPr="009F6FAE">
        <w:rPr>
          <w:rFonts w:ascii="Times New Roman" w:eastAsia="Calibri" w:hAnsi="Times New Roman" w:cs="Times New Roman"/>
          <w:sz w:val="24"/>
          <w:szCs w:val="24"/>
        </w:rPr>
        <w:t>йкас-Кибеки</w:t>
      </w:r>
      <w:proofErr w:type="spellEnd"/>
      <w:r w:rsidRPr="009F6FAE">
        <w:rPr>
          <w:rFonts w:ascii="Times New Roman" w:eastAsia="Calibri" w:hAnsi="Times New Roman" w:cs="Times New Roman"/>
          <w:sz w:val="24"/>
          <w:szCs w:val="24"/>
        </w:rPr>
        <w:t xml:space="preserve"> на общую сумму 35,7 млн. рублей.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Уровень фактической обеспеченности учреждениями культуры от нормативной потребности:</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клубами и учреждениями клубного типа – 100 %;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библиотеками – 100 %;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парками культуры и отдыха – 53 %.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в 2024 году составила 5,2 %.</w:t>
      </w: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составила 0 %.</w:t>
      </w:r>
    </w:p>
    <w:p w:rsidR="00CE12A7" w:rsidRPr="009F6FAE" w:rsidRDefault="00CE12A7" w:rsidP="009F6FAE">
      <w:pPr>
        <w:spacing w:after="0" w:line="240" w:lineRule="auto"/>
        <w:ind w:firstLine="709"/>
        <w:contextualSpacing/>
        <w:jc w:val="both"/>
        <w:rPr>
          <w:rFonts w:ascii="Times New Roman" w:eastAsia="Calibri" w:hAnsi="Times New Roman" w:cs="Times New Roman"/>
          <w:sz w:val="24"/>
          <w:szCs w:val="24"/>
        </w:rPr>
      </w:pPr>
    </w:p>
    <w:p w:rsidR="00CE12A7" w:rsidRDefault="00E14A52" w:rsidP="009F6FAE">
      <w:pPr>
        <w:spacing w:after="0" w:line="240" w:lineRule="auto"/>
        <w:ind w:firstLine="709"/>
        <w:contextualSpacing/>
        <w:jc w:val="center"/>
        <w:rPr>
          <w:rFonts w:ascii="Times New Roman" w:eastAsia="Calibri" w:hAnsi="Times New Roman" w:cs="Times New Roman"/>
          <w:b/>
          <w:sz w:val="24"/>
          <w:szCs w:val="24"/>
        </w:rPr>
      </w:pPr>
      <w:r w:rsidRPr="009F6FAE">
        <w:rPr>
          <w:rFonts w:ascii="Times New Roman" w:eastAsia="Calibri" w:hAnsi="Times New Roman" w:cs="Times New Roman"/>
          <w:b/>
          <w:sz w:val="24"/>
          <w:szCs w:val="24"/>
        </w:rPr>
        <w:t>Физическая культура и спорт.</w:t>
      </w:r>
    </w:p>
    <w:p w:rsidR="009F6FAE" w:rsidRPr="009F6FAE" w:rsidRDefault="009F6FAE" w:rsidP="009F6FAE">
      <w:pPr>
        <w:spacing w:after="0" w:line="240" w:lineRule="auto"/>
        <w:ind w:firstLine="709"/>
        <w:contextualSpacing/>
        <w:jc w:val="center"/>
        <w:rPr>
          <w:rFonts w:ascii="Times New Roman" w:eastAsia="Calibri" w:hAnsi="Times New Roman" w:cs="Times New Roman"/>
          <w:b/>
          <w:sz w:val="24"/>
          <w:szCs w:val="24"/>
        </w:rPr>
      </w:pP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Доля населения, систематически занимающегося физической культурой и спортом в 2024 году – 60,5 %. </w:t>
      </w:r>
    </w:p>
    <w:p w:rsidR="00CE12A7" w:rsidRDefault="00E14A52" w:rsidP="009F6FAE">
      <w:pPr>
        <w:spacing w:after="0" w:line="240" w:lineRule="auto"/>
        <w:ind w:firstLine="709"/>
        <w:contextualSpacing/>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 xml:space="preserve">Доля </w:t>
      </w:r>
      <w:proofErr w:type="gramStart"/>
      <w:r w:rsidRPr="009F6FAE">
        <w:rPr>
          <w:rFonts w:ascii="Times New Roman" w:eastAsia="Calibri" w:hAnsi="Times New Roman" w:cs="Times New Roman"/>
          <w:sz w:val="24"/>
          <w:szCs w:val="24"/>
        </w:rPr>
        <w:t>обучающихся</w:t>
      </w:r>
      <w:proofErr w:type="gramEnd"/>
      <w:r w:rsidRPr="009F6FAE">
        <w:rPr>
          <w:rFonts w:ascii="Times New Roman" w:eastAsia="Calibri" w:hAnsi="Times New Roman" w:cs="Times New Roman"/>
          <w:sz w:val="24"/>
          <w:szCs w:val="24"/>
        </w:rPr>
        <w:t>, систематически занимающихся физической культурой и спортом, в общей численности обучающихся составила 96,4 %.</w:t>
      </w:r>
    </w:p>
    <w:p w:rsidR="009F6FAE" w:rsidRPr="009F6FAE" w:rsidRDefault="009F6FAE" w:rsidP="009F6FAE">
      <w:pPr>
        <w:spacing w:after="0" w:line="240" w:lineRule="auto"/>
        <w:ind w:firstLine="709"/>
        <w:contextualSpacing/>
        <w:jc w:val="both"/>
        <w:rPr>
          <w:rFonts w:ascii="Times New Roman" w:eastAsia="Calibri" w:hAnsi="Times New Roman" w:cs="Times New Roman"/>
          <w:sz w:val="24"/>
          <w:szCs w:val="24"/>
        </w:rPr>
      </w:pPr>
    </w:p>
    <w:p w:rsidR="00CE12A7" w:rsidRDefault="00E14A52" w:rsidP="009F6FAE">
      <w:pPr>
        <w:spacing w:after="0" w:line="240" w:lineRule="auto"/>
        <w:ind w:firstLine="709"/>
        <w:contextualSpacing/>
        <w:jc w:val="center"/>
        <w:rPr>
          <w:rFonts w:ascii="Times New Roman" w:eastAsia="Calibri" w:hAnsi="Times New Roman" w:cs="Times New Roman"/>
          <w:b/>
          <w:sz w:val="24"/>
          <w:szCs w:val="24"/>
        </w:rPr>
      </w:pPr>
      <w:r w:rsidRPr="009F6FAE">
        <w:rPr>
          <w:rFonts w:ascii="Times New Roman" w:eastAsia="Calibri" w:hAnsi="Times New Roman" w:cs="Times New Roman"/>
          <w:b/>
          <w:sz w:val="24"/>
          <w:szCs w:val="24"/>
        </w:rPr>
        <w:t>Жилищное строительство и обеспечение граждан жильем.</w:t>
      </w:r>
    </w:p>
    <w:p w:rsidR="009F6FAE" w:rsidRPr="009F6FAE" w:rsidRDefault="009F6FAE" w:rsidP="009F6FAE">
      <w:pPr>
        <w:spacing w:after="0" w:line="240" w:lineRule="auto"/>
        <w:ind w:firstLine="709"/>
        <w:contextualSpacing/>
        <w:jc w:val="center"/>
        <w:rPr>
          <w:rFonts w:ascii="Times New Roman" w:eastAsia="Calibri" w:hAnsi="Times New Roman" w:cs="Times New Roman"/>
          <w:b/>
          <w:sz w:val="24"/>
          <w:szCs w:val="24"/>
        </w:rPr>
      </w:pPr>
    </w:p>
    <w:p w:rsidR="00CE12A7" w:rsidRPr="009F6FAE" w:rsidRDefault="00E14A52" w:rsidP="009F6FAE">
      <w:pPr>
        <w:spacing w:after="0" w:line="240" w:lineRule="auto"/>
        <w:ind w:firstLine="709"/>
        <w:contextualSpacing/>
        <w:jc w:val="both"/>
        <w:rPr>
          <w:rFonts w:ascii="Times New Roman" w:eastAsia="Calibri" w:hAnsi="Times New Roman" w:cs="Times New Roman"/>
          <w:sz w:val="24"/>
          <w:szCs w:val="24"/>
        </w:rPr>
      </w:pPr>
      <w:proofErr w:type="gramStart"/>
      <w:r w:rsidRPr="009F6FAE">
        <w:rPr>
          <w:rFonts w:ascii="Times New Roman" w:eastAsia="Calibri" w:hAnsi="Times New Roman" w:cs="Times New Roman"/>
          <w:sz w:val="24"/>
          <w:szCs w:val="24"/>
        </w:rPr>
        <w:t>Общая площадь жилых помещений, приходящаяся в среднем на одного жителя в 2024 году составила</w:t>
      </w:r>
      <w:proofErr w:type="gramEnd"/>
      <w:r w:rsidRPr="009F6FAE">
        <w:rPr>
          <w:rFonts w:ascii="Times New Roman" w:eastAsia="Calibri" w:hAnsi="Times New Roman" w:cs="Times New Roman"/>
          <w:sz w:val="24"/>
          <w:szCs w:val="24"/>
        </w:rPr>
        <w:t xml:space="preserve"> 41,2 кв. метров, в </w:t>
      </w:r>
      <w:proofErr w:type="spellStart"/>
      <w:r w:rsidRPr="009F6FAE">
        <w:rPr>
          <w:rFonts w:ascii="Times New Roman" w:eastAsia="Calibri" w:hAnsi="Times New Roman" w:cs="Times New Roman"/>
          <w:sz w:val="24"/>
          <w:szCs w:val="24"/>
        </w:rPr>
        <w:t>т.ч</w:t>
      </w:r>
      <w:proofErr w:type="spellEnd"/>
      <w:r w:rsidRPr="009F6FAE">
        <w:rPr>
          <w:rFonts w:ascii="Times New Roman" w:eastAsia="Calibri" w:hAnsi="Times New Roman" w:cs="Times New Roman"/>
          <w:sz w:val="24"/>
          <w:szCs w:val="24"/>
        </w:rPr>
        <w:t xml:space="preserve">. введенная площадь за 2024 год – 0,46 </w:t>
      </w:r>
      <w:proofErr w:type="spellStart"/>
      <w:r w:rsidRPr="009F6FAE">
        <w:rPr>
          <w:rFonts w:ascii="Times New Roman" w:eastAsia="Calibri" w:hAnsi="Times New Roman" w:cs="Times New Roman"/>
          <w:sz w:val="24"/>
          <w:szCs w:val="24"/>
        </w:rPr>
        <w:t>кв.м</w:t>
      </w:r>
      <w:proofErr w:type="spellEnd"/>
      <w:r w:rsidRPr="009F6FAE">
        <w:rPr>
          <w:rFonts w:ascii="Times New Roman" w:eastAsia="Calibri" w:hAnsi="Times New Roman" w:cs="Times New Roman"/>
          <w:sz w:val="24"/>
          <w:szCs w:val="24"/>
        </w:rPr>
        <w:t xml:space="preserve">. </w:t>
      </w:r>
    </w:p>
    <w:p w:rsidR="00CE12A7" w:rsidRPr="009F6FAE" w:rsidRDefault="00E14A52" w:rsidP="009F6FAE">
      <w:pPr>
        <w:spacing w:after="0" w:line="240" w:lineRule="auto"/>
        <w:ind w:firstLine="709"/>
        <w:contextualSpacing/>
        <w:jc w:val="both"/>
        <w:rPr>
          <w:rFonts w:ascii="Times New Roman" w:hAnsi="Times New Roman" w:cs="Times New Roman"/>
          <w:sz w:val="24"/>
          <w:szCs w:val="24"/>
        </w:rPr>
      </w:pPr>
      <w:r w:rsidRPr="009F6FAE">
        <w:rPr>
          <w:rFonts w:ascii="Times New Roman" w:eastAsia="Calibri" w:hAnsi="Times New Roman" w:cs="Times New Roman"/>
          <w:sz w:val="24"/>
          <w:szCs w:val="24"/>
        </w:rPr>
        <w:t>Площадь земельных участков, предоставленных для строительства в расчете на 10 тыс. человек населения составила 0,9 гектара, в том числе земельных</w:t>
      </w:r>
      <w:r w:rsidRPr="009F6FAE">
        <w:rPr>
          <w:rFonts w:ascii="Times New Roman" w:hAnsi="Times New Roman" w:cs="Times New Roman"/>
          <w:sz w:val="24"/>
          <w:szCs w:val="24"/>
        </w:rPr>
        <w:t xml:space="preserve"> участков, предоставленных для жилищного строительства, индивидуального строительства и комплексного освоения в целях жилищного строительства составила 0,9 гектара.</w:t>
      </w:r>
    </w:p>
    <w:p w:rsidR="00CE12A7" w:rsidRP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hAnsi="Times New Roman" w:cs="Times New Roman"/>
          <w:b/>
          <w:sz w:val="24"/>
          <w:szCs w:val="24"/>
        </w:rPr>
        <w:t xml:space="preserve"> </w:t>
      </w:r>
    </w:p>
    <w:p w:rsidR="00CE12A7" w:rsidRDefault="00E14A52" w:rsidP="009F6FAE">
      <w:pPr>
        <w:widowControl w:val="0"/>
        <w:pBdr>
          <w:bottom w:val="single" w:sz="4" w:space="31" w:color="FFFFFF"/>
        </w:pBdr>
        <w:tabs>
          <w:tab w:val="left" w:pos="-709"/>
          <w:tab w:val="left" w:pos="709"/>
        </w:tabs>
        <w:spacing w:after="0" w:line="240" w:lineRule="auto"/>
        <w:ind w:firstLine="709"/>
        <w:jc w:val="center"/>
        <w:rPr>
          <w:rFonts w:ascii="Times New Roman" w:hAnsi="Times New Roman" w:cs="Times New Roman"/>
          <w:b/>
          <w:sz w:val="24"/>
          <w:szCs w:val="24"/>
        </w:rPr>
      </w:pPr>
      <w:r w:rsidRPr="009F6FAE">
        <w:rPr>
          <w:rFonts w:ascii="Times New Roman" w:hAnsi="Times New Roman" w:cs="Times New Roman"/>
          <w:b/>
          <w:sz w:val="24"/>
          <w:szCs w:val="24"/>
        </w:rPr>
        <w:t>Жилищно-коммунальное хозяйство.</w:t>
      </w:r>
    </w:p>
    <w:p w:rsidR="009F6FAE" w:rsidRPr="009F6FAE" w:rsidRDefault="009F6FAE" w:rsidP="009F6FAE">
      <w:pPr>
        <w:widowControl w:val="0"/>
        <w:pBdr>
          <w:bottom w:val="single" w:sz="4" w:space="31" w:color="FFFFFF"/>
        </w:pBdr>
        <w:tabs>
          <w:tab w:val="left" w:pos="-709"/>
          <w:tab w:val="left" w:pos="709"/>
        </w:tabs>
        <w:spacing w:after="0" w:line="240" w:lineRule="auto"/>
        <w:ind w:firstLine="709"/>
        <w:jc w:val="center"/>
        <w:rPr>
          <w:rFonts w:ascii="Times New Roman" w:hAnsi="Times New Roman" w:cs="Times New Roman"/>
          <w:b/>
          <w:sz w:val="24"/>
          <w:szCs w:val="24"/>
        </w:rPr>
      </w:pPr>
    </w:p>
    <w:p w:rsidR="00CE12A7" w:rsidRP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sz w:val="24"/>
          <w:szCs w:val="24"/>
        </w:rPr>
      </w:pPr>
      <w:r w:rsidRPr="009F6FAE">
        <w:rPr>
          <w:rFonts w:ascii="Times New Roman" w:hAnsi="Times New Roman" w:cs="Times New Roman"/>
          <w:b/>
          <w:sz w:val="24"/>
          <w:szCs w:val="24"/>
        </w:rPr>
        <w:t xml:space="preserve"> </w:t>
      </w:r>
      <w:r w:rsidRPr="009F6FAE">
        <w:rPr>
          <w:rFonts w:ascii="Times New Roman" w:hAnsi="Times New Roman" w:cs="Times New Roman"/>
          <w:sz w:val="24"/>
          <w:szCs w:val="24"/>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в 2024 году составила 89,8 %.</w:t>
      </w:r>
    </w:p>
    <w:p w:rsidR="00CE12A7" w:rsidRP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sz w:val="24"/>
          <w:szCs w:val="24"/>
        </w:rPr>
      </w:pPr>
      <w:r w:rsidRPr="009F6FAE">
        <w:rPr>
          <w:rFonts w:ascii="Times New Roman" w:hAnsi="Times New Roman" w:cs="Times New Roman"/>
          <w:sz w:val="24"/>
          <w:szCs w:val="24"/>
        </w:rPr>
        <w:t xml:space="preserve">Доля многоквартирных домов, расположенных на земельных участках, в отношении которых </w:t>
      </w:r>
      <w:proofErr w:type="gramStart"/>
      <w:r w:rsidRPr="009F6FAE">
        <w:rPr>
          <w:rFonts w:ascii="Times New Roman" w:hAnsi="Times New Roman" w:cs="Times New Roman"/>
          <w:sz w:val="24"/>
          <w:szCs w:val="24"/>
        </w:rPr>
        <w:t>осуществлен государственный кадастровый учет составила</w:t>
      </w:r>
      <w:proofErr w:type="gramEnd"/>
      <w:r w:rsidRPr="009F6FAE">
        <w:rPr>
          <w:rFonts w:ascii="Times New Roman" w:hAnsi="Times New Roman" w:cs="Times New Roman"/>
          <w:sz w:val="24"/>
          <w:szCs w:val="24"/>
        </w:rPr>
        <w:t xml:space="preserve"> 100 %.</w:t>
      </w:r>
    </w:p>
    <w:p w:rsidR="00CE12A7" w:rsidRP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sz w:val="24"/>
          <w:szCs w:val="24"/>
        </w:rPr>
      </w:pPr>
      <w:proofErr w:type="gramStart"/>
      <w:r w:rsidRPr="009F6FAE">
        <w:rPr>
          <w:rFonts w:ascii="Times New Roman" w:hAnsi="Times New Roman" w:cs="Times New Roman"/>
          <w:sz w:val="24"/>
          <w:szCs w:val="24"/>
        </w:rPr>
        <w:t xml:space="preserve">Доля населения, получившего жилые помещения и улучшившего жилищные </w:t>
      </w:r>
      <w:r w:rsidRPr="009F6FAE">
        <w:rPr>
          <w:rFonts w:ascii="Times New Roman" w:hAnsi="Times New Roman" w:cs="Times New Roman"/>
          <w:sz w:val="24"/>
          <w:szCs w:val="24"/>
        </w:rPr>
        <w:lastRenderedPageBreak/>
        <w:t xml:space="preserve">условия в отчетном году, в общей численности населения, состоящего на учете в качестве нуждающегося в жилых помещениях составила 16,3 %. </w:t>
      </w:r>
      <w:proofErr w:type="gramEnd"/>
    </w:p>
    <w:p w:rsidR="00CE12A7" w:rsidRPr="009F6FAE" w:rsidRDefault="00CE12A7"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p>
    <w:p w:rsidR="009F6FAE" w:rsidRDefault="00E14A52" w:rsidP="009F6FAE">
      <w:pPr>
        <w:widowControl w:val="0"/>
        <w:pBdr>
          <w:bottom w:val="single" w:sz="4" w:space="31" w:color="FFFFFF"/>
        </w:pBdr>
        <w:tabs>
          <w:tab w:val="left" w:pos="-709"/>
          <w:tab w:val="left" w:pos="709"/>
        </w:tabs>
        <w:spacing w:after="0" w:line="240" w:lineRule="auto"/>
        <w:ind w:firstLine="709"/>
        <w:jc w:val="center"/>
        <w:rPr>
          <w:rFonts w:ascii="Times New Roman" w:hAnsi="Times New Roman" w:cs="Times New Roman"/>
          <w:b/>
          <w:sz w:val="24"/>
          <w:szCs w:val="24"/>
        </w:rPr>
      </w:pPr>
      <w:r w:rsidRPr="009F6FAE">
        <w:rPr>
          <w:rFonts w:ascii="Times New Roman" w:hAnsi="Times New Roman" w:cs="Times New Roman"/>
          <w:b/>
          <w:sz w:val="24"/>
          <w:szCs w:val="24"/>
        </w:rPr>
        <w:t>Организация муниципального управления.</w:t>
      </w:r>
    </w:p>
    <w:p w:rsidR="009F6FAE" w:rsidRDefault="009F6FAE" w:rsidP="009F6FAE">
      <w:pPr>
        <w:widowControl w:val="0"/>
        <w:pBdr>
          <w:bottom w:val="single" w:sz="4" w:space="31" w:color="FFFFFF"/>
        </w:pBdr>
        <w:tabs>
          <w:tab w:val="left" w:pos="-709"/>
          <w:tab w:val="left" w:pos="709"/>
        </w:tabs>
        <w:spacing w:after="0" w:line="240" w:lineRule="auto"/>
        <w:ind w:firstLine="709"/>
        <w:jc w:val="center"/>
        <w:rPr>
          <w:rFonts w:ascii="Times New Roman" w:hAnsi="Times New Roman" w:cs="Times New Roman"/>
          <w:b/>
          <w:sz w:val="24"/>
          <w:szCs w:val="24"/>
        </w:rPr>
      </w:pP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Бюджет Вурнарского муниципального округа Чувашской Республики (далее – бюджет муниципального округа) за 2024 год по доходам исполнен в объеме 1258,4  млн. рублей  при годовых плановых назначениях 1238,3 млн. рублей или на 101,6 %. Темп роста по отношению  к уровню прошлого года составил 121,3% или  в абсолютном выражении прирост составил 221,0 млн. рублей.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Исполнение  по налоговым и неналоговым   доходам за 2024 год  составило 342,7 млн. рублей  при годовых плановых назначениях  312,2 млн. рублей, или  109,8 %. Темп роста к аналогичному периоду прошлого года составил 129,9 %, или в абсолютном выражении прирост составил 78,9 млн. рублей.  Увеличение собственных доходов в основном произошло за счет налога на доходы физических  лиц, налогов на совокупный доход, государственной пошлины, доходов от использования и продажи имущества.</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proofErr w:type="gramStart"/>
      <w:r w:rsidRPr="009F6FAE">
        <w:rPr>
          <w:rFonts w:ascii="Times New Roman" w:eastAsia="Calibri" w:hAnsi="Times New Roman" w:cs="Times New Roman"/>
          <w:sz w:val="24"/>
          <w:szCs w:val="24"/>
        </w:rPr>
        <w:t xml:space="preserve">В бюджет Вурнарского муниципального округа  в 2024 году мобилизовано  налоговых доходов в сумме 307,2 млн. рублей при годовых плановых назначениях    282,1 млн. рублей, или 108,9 %. Налоговые поступления по сравнению с аналогичным периодом прошлого года возросли  на 74,1 млн. рублей, или на 31,8%. На долю налоговых доходов приходится 89,6% от собственных доходов.  </w:t>
      </w:r>
      <w:proofErr w:type="gramEnd"/>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Налог на доходы физических лиц - основной налог, и его роль в формировании местного бюджета как основного источника сохраняется на протяжении многих лет. Объем поступлений налога на доходы физических лиц напрямую зависит от размера дополнительного норматива отчислений налога на доходы физических лиц, устанавливаемого Законом Чувашской Республики о республиканском бюджете.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В 2024 году на долю налогов на доходы физических лиц в общем объеме налоговых и неналоговых доходов приходится 65,8 %, поступления составили 225,6 млн. рублей, или 110,7 % к годовым плановым назначениям. По отношению к уровню  2023 года  сумма поступлений налога на доходы физических лиц увеличилась на 60,6 млн. рублей  (на 36,8%).</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 Значительный объем поступлений приходится на налоги на совокупный доход,  (9,1% от собственных доходов). Поступления по налогу, взимаемому по упрощенной системе налогообложения, составили 25,3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 xml:space="preserve"> (103,% к плановым назначениям, 129,1% к уровню прошлого года). На долю имущественных налогов в собственных доходах приходится 7,0%.Обеспечен рост поступлений к уровню прошлого года как по налогу на имущество физических лиц (на 10,5%), так и по земельному налогу  (на 2,6%).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Поступление неналоговых доходов в бюджет Вурнарского муниципального округа  в 2024 году составило 35,5 млн. рублей при годовых плановых назначениях  30,7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 xml:space="preserve"> (исполнение 118,4%). Рост неналоговых доходов по отношению к уровню 2023 года на 4,9 млн. рублей (на 15,9%). Доходы от использования имущества, находящегося в государственной и муниципальной собственности в структуре собственных  доходов занимают   - 3,8 % (16,9 млн. рублей). По отношению к уровню 2023 года рост поступлений по данному виду доходов  составил 5,0 млн. рублей,  или на 41,7%. На долю доходов от продажи материальных и нематериальных активов приходится 3,1% собственных доходов.  Поступление составило 10,5 млн. рублей, или 105,1 процентов к годовым плановым назначениям. По отношению к уровню 2023 года рост составил 5,9 млн. рублей (2,3 раза).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Объем безвозмездных поступлений в   бюджет Вурнарского муниципального округа  составил 915,7 млн. рублей, или  98,9 % от годовых назначений с ростом   к аналогичному периоду прошлого года 18,4 %, или на 142,1 млн. рублей в абсолютном выражении. На долю безвозмездных поступлений  приходится 72,8 % от общего объема </w:t>
      </w:r>
      <w:r w:rsidRPr="009F6FAE">
        <w:rPr>
          <w:rFonts w:ascii="Times New Roman" w:eastAsia="Calibri" w:hAnsi="Times New Roman" w:cs="Times New Roman"/>
          <w:sz w:val="24"/>
          <w:szCs w:val="24"/>
        </w:rPr>
        <w:lastRenderedPageBreak/>
        <w:t xml:space="preserve">поступивших доходов.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Кассовое исполнение  бюджета Вурнарского муниципального округа  по расходам за 2024 год составило  90,2 % от годовых плановых назначений. При  годовых плановых назначениях в сумме 1352,1 млн. рублей освоено 1219,2 млн. рублей. По отношению к аналогичному периоду прошлого года отмечается рост кассовых расходов в абсолютных величинах на 192,0 млн. рублей,  или на 18,7%.</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На финансирование отраслей социально-культурной сферы в 2024 году было направлено 69,5% расходов бюджета Вурнарского муниципального округа  или 847,1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 xml:space="preserve"> (97,0% от годовых назначений). Объем расходов по сравнению с прошлым годом увеличился на 17,3%, в абсолютном выражении на 125,0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 xml:space="preserve">. Расходы бюджета составили:  по разделу «Общегосударственные расходы»  -        125,9 млн. рублей при годовых плановых назначениях  130,3 млн. рублей   (96,7%), по разделу «Национальная оборона» – 2,5 млн. рублей при годовых плановых назначениях  2,5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 xml:space="preserve"> (100,0%), по разделу «Национальная безопасность и правоохранительная деятельность» - 13,9 млн. рублей при годовых плановых назначения</w:t>
      </w:r>
      <w:r w:rsidR="009F6FAE">
        <w:rPr>
          <w:rFonts w:ascii="Times New Roman" w:eastAsia="Calibri" w:hAnsi="Times New Roman" w:cs="Times New Roman"/>
          <w:sz w:val="24"/>
          <w:szCs w:val="24"/>
        </w:rPr>
        <w:t xml:space="preserve">х 15,4 </w:t>
      </w:r>
      <w:proofErr w:type="spellStart"/>
      <w:r w:rsidR="009F6FAE">
        <w:rPr>
          <w:rFonts w:ascii="Times New Roman" w:eastAsia="Calibri" w:hAnsi="Times New Roman" w:cs="Times New Roman"/>
          <w:sz w:val="24"/>
          <w:szCs w:val="24"/>
        </w:rPr>
        <w:t>млн.рублей</w:t>
      </w:r>
      <w:proofErr w:type="spellEnd"/>
      <w:r w:rsidR="009F6FAE">
        <w:rPr>
          <w:rFonts w:ascii="Times New Roman" w:eastAsia="Calibri" w:hAnsi="Times New Roman" w:cs="Times New Roman"/>
          <w:sz w:val="24"/>
          <w:szCs w:val="24"/>
        </w:rPr>
        <w:t xml:space="preserve"> (90,3%), </w:t>
      </w:r>
      <w:r w:rsidRPr="009F6FAE">
        <w:rPr>
          <w:rFonts w:ascii="Times New Roman" w:eastAsia="Calibri" w:hAnsi="Times New Roman" w:cs="Times New Roman"/>
          <w:sz w:val="24"/>
          <w:szCs w:val="24"/>
        </w:rPr>
        <w:t xml:space="preserve">по разделу «Национальная экономика» - 132,2  млн. рублей при годовых плановых назначениях  184,1 млн. рублей (71,8%), по разделу «Жилищно-коммунальное хозяйство» - 97,1 млн. рублей при годовых плановых назначениях 144,4 </w:t>
      </w:r>
      <w:proofErr w:type="spellStart"/>
      <w:r w:rsidRPr="009F6FAE">
        <w:rPr>
          <w:rFonts w:ascii="Times New Roman" w:eastAsia="Calibri" w:hAnsi="Times New Roman" w:cs="Times New Roman"/>
          <w:sz w:val="24"/>
          <w:szCs w:val="24"/>
        </w:rPr>
        <w:t>млн</w:t>
      </w:r>
      <w:proofErr w:type="gramStart"/>
      <w:r w:rsidRPr="009F6FAE">
        <w:rPr>
          <w:rFonts w:ascii="Times New Roman" w:eastAsia="Calibri" w:hAnsi="Times New Roman" w:cs="Times New Roman"/>
          <w:sz w:val="24"/>
          <w:szCs w:val="24"/>
        </w:rPr>
        <w:t>.р</w:t>
      </w:r>
      <w:proofErr w:type="gramEnd"/>
      <w:r w:rsidRPr="009F6FAE">
        <w:rPr>
          <w:rFonts w:ascii="Times New Roman" w:eastAsia="Calibri" w:hAnsi="Times New Roman" w:cs="Times New Roman"/>
          <w:sz w:val="24"/>
          <w:szCs w:val="24"/>
        </w:rPr>
        <w:t>ублей</w:t>
      </w:r>
      <w:proofErr w:type="spellEnd"/>
      <w:r w:rsidRPr="009F6FAE">
        <w:rPr>
          <w:rFonts w:ascii="Times New Roman" w:eastAsia="Calibri" w:hAnsi="Times New Roman" w:cs="Times New Roman"/>
          <w:sz w:val="24"/>
          <w:szCs w:val="24"/>
        </w:rPr>
        <w:t xml:space="preserve"> (67,2%).</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Бюджет  Вурнарского муниципального округа  Чувашской Республики за 2024 год исполнен с профицитом 39,2 млн. рублей.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w:t>
      </w:r>
      <w:r w:rsidR="009A115C" w:rsidRPr="009F6FAE">
        <w:rPr>
          <w:rFonts w:ascii="Times New Roman" w:eastAsia="Calibri" w:hAnsi="Times New Roman" w:cs="Times New Roman"/>
          <w:sz w:val="24"/>
          <w:szCs w:val="24"/>
        </w:rPr>
        <w:t xml:space="preserve"> учета субвенций) составила 27,4</w:t>
      </w:r>
      <w:r w:rsidRPr="009F6FAE">
        <w:rPr>
          <w:rFonts w:ascii="Times New Roman" w:eastAsia="Calibri" w:hAnsi="Times New Roman" w:cs="Times New Roman"/>
          <w:sz w:val="24"/>
          <w:szCs w:val="24"/>
        </w:rPr>
        <w:t xml:space="preserve"> %.</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Расходы бюджета муниципального образования на содержание работни</w:t>
      </w:r>
      <w:r w:rsidR="009A115C" w:rsidRPr="009F6FAE">
        <w:rPr>
          <w:rFonts w:ascii="Times New Roman" w:eastAsia="Calibri" w:hAnsi="Times New Roman" w:cs="Times New Roman"/>
          <w:sz w:val="24"/>
          <w:szCs w:val="24"/>
        </w:rPr>
        <w:t>к</w:t>
      </w:r>
      <w:r w:rsidRPr="009F6FAE">
        <w:rPr>
          <w:rFonts w:ascii="Times New Roman" w:eastAsia="Calibri" w:hAnsi="Times New Roman" w:cs="Times New Roman"/>
          <w:sz w:val="24"/>
          <w:szCs w:val="24"/>
        </w:rPr>
        <w:t xml:space="preserve">ов органов местного самоуправления в расчете на одного жителя муниципального образования составили </w:t>
      </w:r>
      <w:r w:rsidR="009A115C" w:rsidRPr="009F6FAE">
        <w:rPr>
          <w:rFonts w:ascii="Times New Roman" w:eastAsia="Calibri" w:hAnsi="Times New Roman" w:cs="Times New Roman"/>
          <w:sz w:val="24"/>
          <w:szCs w:val="24"/>
        </w:rPr>
        <w:t>2934,8</w:t>
      </w:r>
      <w:r w:rsidRPr="009F6FAE">
        <w:rPr>
          <w:rFonts w:ascii="Times New Roman" w:eastAsia="Calibri" w:hAnsi="Times New Roman" w:cs="Times New Roman"/>
          <w:sz w:val="24"/>
          <w:szCs w:val="24"/>
        </w:rPr>
        <w:t xml:space="preserve"> рублей (АППГ – 2759,6 рублей).</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В </w:t>
      </w:r>
      <w:proofErr w:type="spellStart"/>
      <w:r w:rsidRPr="009F6FAE">
        <w:rPr>
          <w:rFonts w:ascii="Times New Roman" w:eastAsia="Calibri" w:hAnsi="Times New Roman" w:cs="Times New Roman"/>
          <w:sz w:val="24"/>
          <w:szCs w:val="24"/>
        </w:rPr>
        <w:t>Вурнарском</w:t>
      </w:r>
      <w:proofErr w:type="spellEnd"/>
      <w:r w:rsidRPr="009F6FAE">
        <w:rPr>
          <w:rFonts w:ascii="Times New Roman" w:eastAsia="Calibri" w:hAnsi="Times New Roman" w:cs="Times New Roman"/>
          <w:sz w:val="24"/>
          <w:szCs w:val="24"/>
        </w:rPr>
        <w:t xml:space="preserve"> муниципальном округе имеется утвержденная схема территориального планирования.</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proofErr w:type="spellStart"/>
      <w:r w:rsidRPr="009F6FAE">
        <w:rPr>
          <w:rFonts w:ascii="Times New Roman" w:eastAsia="Calibri" w:hAnsi="Times New Roman" w:cs="Times New Roman"/>
          <w:sz w:val="24"/>
          <w:szCs w:val="24"/>
        </w:rPr>
        <w:t>Удовлетвороенность</w:t>
      </w:r>
      <w:proofErr w:type="spellEnd"/>
      <w:r w:rsidRPr="009F6FAE">
        <w:rPr>
          <w:rFonts w:ascii="Times New Roman" w:eastAsia="Calibri" w:hAnsi="Times New Roman" w:cs="Times New Roman"/>
          <w:sz w:val="24"/>
          <w:szCs w:val="24"/>
        </w:rPr>
        <w:t xml:space="preserve"> населения деятельностью органов местного самоуправления муниципального округа составила 85 % от числа опрошенных.</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eastAsia="Calibri" w:hAnsi="Times New Roman" w:cs="Times New Roman"/>
          <w:sz w:val="24"/>
          <w:szCs w:val="24"/>
        </w:rPr>
      </w:pPr>
      <w:r w:rsidRPr="009F6FAE">
        <w:rPr>
          <w:rFonts w:ascii="Times New Roman" w:eastAsia="Calibri" w:hAnsi="Times New Roman" w:cs="Times New Roman"/>
          <w:sz w:val="24"/>
          <w:szCs w:val="24"/>
        </w:rPr>
        <w:t>Среднегодовая численность постоянного населения в 2024 году составила 28 415 тыс. человек. Число родившихся – 176 чел. (за аналогичный период 2023 года –185);  смертей – 518 чел. (за аналогичный период прошлого года - 506), из общего количества умерших 308 мужчины, средний возраст которых составил 63 года, 210 женщин, средний возраст - 69 ле</w:t>
      </w:r>
      <w:r w:rsidR="009F6FAE">
        <w:rPr>
          <w:rFonts w:ascii="Times New Roman" w:eastAsia="Calibri" w:hAnsi="Times New Roman" w:cs="Times New Roman"/>
          <w:sz w:val="24"/>
          <w:szCs w:val="24"/>
        </w:rPr>
        <w:t>т.</w:t>
      </w:r>
    </w:p>
    <w:p w:rsidR="009F6FAE" w:rsidRDefault="009F6FAE" w:rsidP="009F6FAE">
      <w:pPr>
        <w:widowControl w:val="0"/>
        <w:pBdr>
          <w:bottom w:val="single" w:sz="4" w:space="31" w:color="FFFFFF"/>
        </w:pBdr>
        <w:tabs>
          <w:tab w:val="left" w:pos="-709"/>
          <w:tab w:val="left" w:pos="709"/>
        </w:tabs>
        <w:spacing w:after="0" w:line="240" w:lineRule="auto"/>
        <w:ind w:firstLine="709"/>
        <w:jc w:val="center"/>
        <w:rPr>
          <w:rFonts w:ascii="Times New Roman" w:hAnsi="Times New Roman" w:cs="Times New Roman"/>
          <w:b/>
          <w:sz w:val="24"/>
          <w:szCs w:val="24"/>
        </w:rPr>
      </w:pPr>
    </w:p>
    <w:p w:rsidR="009F6FAE" w:rsidRDefault="00E14A52" w:rsidP="009F6FAE">
      <w:pPr>
        <w:widowControl w:val="0"/>
        <w:pBdr>
          <w:bottom w:val="single" w:sz="4" w:space="31" w:color="FFFFFF"/>
        </w:pBdr>
        <w:tabs>
          <w:tab w:val="left" w:pos="-709"/>
          <w:tab w:val="left" w:pos="709"/>
        </w:tabs>
        <w:spacing w:after="0" w:line="240" w:lineRule="auto"/>
        <w:ind w:firstLine="709"/>
        <w:jc w:val="center"/>
        <w:rPr>
          <w:rFonts w:ascii="Times New Roman" w:hAnsi="Times New Roman" w:cs="Times New Roman"/>
          <w:b/>
          <w:sz w:val="24"/>
          <w:szCs w:val="24"/>
        </w:rPr>
      </w:pPr>
      <w:r w:rsidRPr="009F6FAE">
        <w:rPr>
          <w:rFonts w:ascii="Times New Roman" w:hAnsi="Times New Roman" w:cs="Times New Roman"/>
          <w:b/>
          <w:sz w:val="24"/>
          <w:szCs w:val="24"/>
        </w:rPr>
        <w:t>Энергосбережение и повышение энергетической эффективности.</w:t>
      </w:r>
    </w:p>
    <w:p w:rsidR="009F6FAE" w:rsidRDefault="009F6FAE"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Удельная величина потребления энергетических ресурсов в многоквартирных домах в 2024 году составила:</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электрическая энергия – 891 кВт/</w:t>
      </w:r>
      <w:proofErr w:type="gramStart"/>
      <w:r w:rsidRPr="009F6FAE">
        <w:rPr>
          <w:rFonts w:ascii="Times New Roman" w:eastAsia="Calibri" w:hAnsi="Times New Roman" w:cs="Times New Roman"/>
          <w:sz w:val="24"/>
          <w:szCs w:val="24"/>
        </w:rPr>
        <w:t>ч</w:t>
      </w:r>
      <w:proofErr w:type="gramEnd"/>
      <w:r w:rsidRPr="009F6FAE">
        <w:rPr>
          <w:rFonts w:ascii="Times New Roman" w:eastAsia="Calibri" w:hAnsi="Times New Roman" w:cs="Times New Roman"/>
          <w:sz w:val="24"/>
          <w:szCs w:val="24"/>
        </w:rPr>
        <w:t xml:space="preserve"> на 1 проживающего;</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тепловая энергия – 0,16 Гкал на 1 кв. метр общей площади;</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 холодная вода – 31,8 куб. метров на 1 </w:t>
      </w:r>
      <w:proofErr w:type="gramStart"/>
      <w:r w:rsidRPr="009F6FAE">
        <w:rPr>
          <w:rFonts w:ascii="Times New Roman" w:eastAsia="Calibri" w:hAnsi="Times New Roman" w:cs="Times New Roman"/>
          <w:sz w:val="24"/>
          <w:szCs w:val="24"/>
        </w:rPr>
        <w:t>проживающего</w:t>
      </w:r>
      <w:proofErr w:type="gramEnd"/>
      <w:r w:rsidRPr="009F6FAE">
        <w:rPr>
          <w:rFonts w:ascii="Times New Roman" w:eastAsia="Calibri" w:hAnsi="Times New Roman" w:cs="Times New Roman"/>
          <w:sz w:val="24"/>
          <w:szCs w:val="24"/>
        </w:rPr>
        <w:t>;</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xml:space="preserve">- природный газ – 312,3 куб. метров на 1 </w:t>
      </w:r>
      <w:proofErr w:type="gramStart"/>
      <w:r w:rsidRPr="009F6FAE">
        <w:rPr>
          <w:rFonts w:ascii="Times New Roman" w:eastAsia="Calibri" w:hAnsi="Times New Roman" w:cs="Times New Roman"/>
          <w:sz w:val="24"/>
          <w:szCs w:val="24"/>
        </w:rPr>
        <w:t>проживающего</w:t>
      </w:r>
      <w:proofErr w:type="gramEnd"/>
      <w:r w:rsidRPr="009F6FAE">
        <w:rPr>
          <w:rFonts w:ascii="Times New Roman" w:eastAsia="Calibri" w:hAnsi="Times New Roman" w:cs="Times New Roman"/>
          <w:sz w:val="24"/>
          <w:szCs w:val="24"/>
        </w:rPr>
        <w:t>.</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Удельная величина потребления энергетических ресурсов муниципальными бюджетными учреждениями:</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электрическая энергия – 43,05 кВт/</w:t>
      </w:r>
      <w:proofErr w:type="gramStart"/>
      <w:r w:rsidRPr="009F6FAE">
        <w:rPr>
          <w:rFonts w:ascii="Times New Roman" w:eastAsia="Calibri" w:hAnsi="Times New Roman" w:cs="Times New Roman"/>
          <w:sz w:val="24"/>
          <w:szCs w:val="24"/>
        </w:rPr>
        <w:t>ч</w:t>
      </w:r>
      <w:proofErr w:type="gramEnd"/>
      <w:r w:rsidRPr="009F6FAE">
        <w:rPr>
          <w:rFonts w:ascii="Times New Roman" w:eastAsia="Calibri" w:hAnsi="Times New Roman" w:cs="Times New Roman"/>
          <w:sz w:val="24"/>
          <w:szCs w:val="24"/>
        </w:rPr>
        <w:t xml:space="preserve"> на 1 человека населения;</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тепловая энергия – 0,2 Гкал на 1 кв. метр общей площади;</w:t>
      </w:r>
    </w:p>
    <w:p w:rsid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t>- холодная вода – 0,39 куб. метров на 1 человека населения;</w:t>
      </w:r>
    </w:p>
    <w:p w:rsidR="00CE12A7" w:rsidRPr="009F6FAE" w:rsidRDefault="00E14A52" w:rsidP="009F6FAE">
      <w:pPr>
        <w:widowControl w:val="0"/>
        <w:pBdr>
          <w:bottom w:val="single" w:sz="4" w:space="31" w:color="FFFFFF"/>
        </w:pBdr>
        <w:tabs>
          <w:tab w:val="left" w:pos="-709"/>
          <w:tab w:val="left" w:pos="709"/>
        </w:tabs>
        <w:spacing w:after="0" w:line="240" w:lineRule="auto"/>
        <w:ind w:firstLine="709"/>
        <w:jc w:val="both"/>
        <w:rPr>
          <w:rFonts w:ascii="Times New Roman" w:hAnsi="Times New Roman" w:cs="Times New Roman"/>
          <w:b/>
          <w:sz w:val="24"/>
          <w:szCs w:val="24"/>
        </w:rPr>
      </w:pPr>
      <w:r w:rsidRPr="009F6FAE">
        <w:rPr>
          <w:rFonts w:ascii="Times New Roman" w:eastAsia="Calibri" w:hAnsi="Times New Roman" w:cs="Times New Roman"/>
          <w:sz w:val="24"/>
          <w:szCs w:val="24"/>
        </w:rPr>
        <w:lastRenderedPageBreak/>
        <w:t>- природный газ – 26,02 куб. метров на 1 человека населения.</w:t>
      </w:r>
    </w:p>
    <w:p w:rsidR="009F6FAE" w:rsidRPr="009F6FAE" w:rsidRDefault="009F6FAE" w:rsidP="009F6FAE">
      <w:pPr>
        <w:spacing w:after="0" w:line="240" w:lineRule="auto"/>
        <w:ind w:firstLine="709"/>
        <w:contextualSpacing/>
        <w:jc w:val="both"/>
        <w:rPr>
          <w:rFonts w:ascii="Times New Roman" w:eastAsia="Calibri" w:hAnsi="Times New Roman" w:cs="Times New Roman"/>
          <w:sz w:val="24"/>
          <w:szCs w:val="24"/>
        </w:rPr>
      </w:pPr>
    </w:p>
    <w:sectPr w:rsidR="009F6FAE" w:rsidRPr="009F6FAE" w:rsidSect="002E78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EE5" w:rsidRDefault="005F7EE5">
      <w:pPr>
        <w:spacing w:after="0" w:line="240" w:lineRule="auto"/>
      </w:pPr>
      <w:r>
        <w:separator/>
      </w:r>
    </w:p>
  </w:endnote>
  <w:endnote w:type="continuationSeparator" w:id="0">
    <w:p w:rsidR="005F7EE5" w:rsidRDefault="005F7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EE5" w:rsidRDefault="005F7EE5">
      <w:pPr>
        <w:spacing w:after="0" w:line="240" w:lineRule="auto"/>
      </w:pPr>
      <w:r>
        <w:separator/>
      </w:r>
    </w:p>
  </w:footnote>
  <w:footnote w:type="continuationSeparator" w:id="0">
    <w:p w:rsidR="005F7EE5" w:rsidRDefault="005F7E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2A7"/>
    <w:rsid w:val="002E7898"/>
    <w:rsid w:val="002E7938"/>
    <w:rsid w:val="003B7287"/>
    <w:rsid w:val="00464141"/>
    <w:rsid w:val="005F7EE5"/>
    <w:rsid w:val="008878AC"/>
    <w:rsid w:val="009A115C"/>
    <w:rsid w:val="009F6FAE"/>
    <w:rsid w:val="00BB5A41"/>
    <w:rsid w:val="00CE12A7"/>
    <w:rsid w:val="00CF7933"/>
    <w:rsid w:val="00D03081"/>
    <w:rsid w:val="00E14A52"/>
    <w:rsid w:val="00E16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spacing w:before="240" w:after="60" w:line="240" w:lineRule="auto"/>
      <w:outlineLvl w:val="0"/>
    </w:pPr>
    <w:rPr>
      <w:rFonts w:ascii="Cambria" w:eastAsia="Times New Roman" w:hAnsi="Cambria" w:cs="Times New Roman"/>
      <w:b/>
      <w:bCs/>
      <w:sz w:val="32"/>
      <w:szCs w:val="32"/>
      <w:lang w:eastAsia="ru-RU"/>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d">
    <w:name w:val="caption"/>
    <w:basedOn w:val="a"/>
    <w:next w:val="a"/>
    <w:uiPriority w:val="35"/>
    <w:semiHidden/>
    <w:unhideWhenUsed/>
    <w:qFormat/>
    <w:rPr>
      <w:b/>
      <w:bCs/>
      <w:color w:val="4F81BD" w:themeColor="accent1"/>
      <w:sz w:val="18"/>
      <w:szCs w:val="18"/>
    </w:rPr>
  </w:style>
  <w:style w:type="character" w:customStyle="1" w:styleId="ac">
    <w:name w:val="Нижний колонтитул Знак"/>
    <w:link w:val="ab"/>
    <w:uiPriority w:val="99"/>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
    <w:name w:val="Hyperlink"/>
    <w:uiPriority w:val="99"/>
    <w:unhideWhenUsed/>
    <w:rPr>
      <w:color w:val="0000FF"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 Spacing"/>
    <w:link w:val="af9"/>
    <w:uiPriority w:val="1"/>
    <w:qFormat/>
    <w:pPr>
      <w:spacing w:after="0" w:line="240" w:lineRule="auto"/>
    </w:pPr>
    <w:rPr>
      <w:rFonts w:ascii="Calibri" w:eastAsia="Calibri" w:hAnsi="Calibri" w:cs="Times New Roman"/>
    </w:rPr>
  </w:style>
  <w:style w:type="character" w:customStyle="1" w:styleId="10">
    <w:name w:val="Заголовок 1 Знак"/>
    <w:basedOn w:val="a0"/>
    <w:link w:val="1"/>
    <w:uiPriority w:val="9"/>
    <w:rPr>
      <w:rFonts w:ascii="Cambria" w:eastAsia="Times New Roman" w:hAnsi="Cambria" w:cs="Times New Roman"/>
      <w:b/>
      <w:bCs/>
      <w:sz w:val="32"/>
      <w:szCs w:val="32"/>
      <w:lang w:eastAsia="ru-RU"/>
    </w:rPr>
  </w:style>
  <w:style w:type="paragraph" w:customStyle="1" w:styleId="Default">
    <w:name w:val="Default"/>
    <w:basedOn w:val="a"/>
    <w:qFormat/>
    <w:pPr>
      <w:spacing w:after="0" w:line="240" w:lineRule="auto"/>
    </w:pPr>
    <w:rPr>
      <w:rFonts w:ascii="Times New Roman" w:eastAsia="Times New Roman" w:hAnsi="Times New Roman" w:cs="Times New Roman"/>
      <w:color w:val="000000"/>
      <w:sz w:val="24"/>
      <w:szCs w:val="24"/>
      <w:lang w:eastAsia="ar-SA"/>
    </w:rPr>
  </w:style>
  <w:style w:type="character" w:styleId="afa">
    <w:name w:val="Strong"/>
    <w:basedOn w:val="a0"/>
    <w:uiPriority w:val="22"/>
    <w:qFormat/>
    <w:rPr>
      <w:b/>
      <w:bCs/>
    </w:rPr>
  </w:style>
  <w:style w:type="paragraph" w:styleId="afb">
    <w:name w:val="Body Text Indent"/>
    <w:basedOn w:val="a"/>
    <w:link w:val="afc"/>
    <w:uiPriority w:val="99"/>
    <w:unhideWhenUsed/>
    <w:pPr>
      <w:spacing w:after="0" w:line="240" w:lineRule="auto"/>
      <w:ind w:firstLine="715"/>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rPr>
      <w:rFonts w:ascii="Times New Roman" w:eastAsia="Times New Roman" w:hAnsi="Times New Roman" w:cs="Times New Roman"/>
      <w:sz w:val="24"/>
      <w:szCs w:val="24"/>
      <w:lang w:eastAsia="ru-RU"/>
    </w:rPr>
  </w:style>
  <w:style w:type="paragraph" w:styleId="afd">
    <w:name w:val="Body Text"/>
    <w:basedOn w:val="a"/>
    <w:link w:val="afe"/>
    <w:uiPriority w:val="99"/>
    <w:unhideWhenUsed/>
    <w:pPr>
      <w:spacing w:after="120"/>
    </w:pPr>
  </w:style>
  <w:style w:type="character" w:customStyle="1" w:styleId="afe">
    <w:name w:val="Основной текст Знак"/>
    <w:basedOn w:val="a0"/>
    <w:link w:val="afd"/>
    <w:uiPriority w:val="99"/>
  </w:style>
  <w:style w:type="paragraph" w:styleId="aff">
    <w:name w:val="Normal (Web)"/>
    <w:basedOn w:val="a"/>
    <w:link w:val="aff0"/>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Без интервала Знак"/>
    <w:link w:val="af8"/>
    <w:uiPriority w:val="1"/>
    <w:rPr>
      <w:rFonts w:ascii="Calibri" w:eastAsia="Calibri" w:hAnsi="Calibri" w:cs="Times New Roman"/>
    </w:rPr>
  </w:style>
  <w:style w:type="paragraph" w:styleId="aff1">
    <w:name w:val="List Paragraph"/>
    <w:basedOn w:val="a"/>
    <w:uiPriority w:val="34"/>
    <w:qFormat/>
    <w:pPr>
      <w:widowControl w:val="0"/>
      <w:spacing w:after="0" w:line="240" w:lineRule="auto"/>
      <w:ind w:left="961" w:hanging="141"/>
    </w:pPr>
    <w:rPr>
      <w:rFonts w:ascii="Times New Roman" w:eastAsia="Times New Roman" w:hAnsi="Times New Roman" w:cs="Times New Roman"/>
    </w:rPr>
  </w:style>
  <w:style w:type="paragraph" w:customStyle="1" w:styleId="228bf8a64b8551e1msonormal">
    <w:name w:val="228bf8a64b8551e1msonormal"/>
    <w:basedOn w:val="a"/>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0">
    <w:name w:val="Обычный (веб) Знак"/>
    <w:link w:val="aff"/>
    <w:uiPriority w:val="9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8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EA24FC-A096-4F32-AF46-46BDC12BB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2829</Words>
  <Characters>16131</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vur_economy1</dc:creator>
  <cp:lastModifiedBy>Адм. Вурнарского района - Любовь Дмитриева</cp:lastModifiedBy>
  <cp:revision>3</cp:revision>
  <dcterms:created xsi:type="dcterms:W3CDTF">2025-10-06T06:36:00Z</dcterms:created>
  <dcterms:modified xsi:type="dcterms:W3CDTF">2025-10-06T07:00:00Z</dcterms:modified>
</cp:coreProperties>
</file>