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A000000">
      <w:pPr>
        <w:widowControl w:val="1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</w:t>
      </w:r>
      <w:r>
        <w:rPr>
          <w:rFonts w:ascii="Times New Roman" w:hAnsi="Times New Roman"/>
          <w:sz w:val="28"/>
        </w:rPr>
        <w:t xml:space="preserve">Яльчикского </w:t>
      </w:r>
      <w:r>
        <w:rPr>
          <w:rFonts w:ascii="Times New Roman" w:hAnsi="Times New Roman"/>
          <w:sz w:val="28"/>
        </w:rPr>
        <w:t xml:space="preserve">района </w:t>
      </w:r>
      <w:r>
        <w:rPr>
          <w:rFonts w:ascii="Times New Roman" w:hAnsi="Times New Roman"/>
          <w:sz w:val="28"/>
        </w:rPr>
        <w:t>приняты меры по возвращению земель муниципалитету</w:t>
      </w: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C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района проведена проверка соблюдения органами местного самоуправления законодательства при отчуждении земель сельскохозяйственного назначения.</w:t>
      </w:r>
    </w:p>
    <w:p w14:paraId="0D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Земельное законодательства в</w:t>
      </w:r>
      <w:r>
        <w:rPr>
          <w:rFonts w:ascii="Times New Roman" w:hAnsi="Times New Roman"/>
          <w:sz w:val="28"/>
        </w:rPr>
        <w:t xml:space="preserve"> качестве исключения из общего правила о предоставлении земельных участков по результатам аукциона, </w:t>
      </w:r>
      <w:r>
        <w:rPr>
          <w:rFonts w:ascii="Times New Roman" w:hAnsi="Times New Roman"/>
          <w:sz w:val="28"/>
        </w:rPr>
        <w:t>предусмат</w:t>
      </w:r>
      <w:r>
        <w:rPr>
          <w:rFonts w:ascii="Times New Roman" w:hAnsi="Times New Roman"/>
          <w:sz w:val="28"/>
        </w:rPr>
        <w:t>ривает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возможность  </w:t>
      </w:r>
      <w:r>
        <w:rPr>
          <w:rFonts w:ascii="Times New Roman" w:hAnsi="Times New Roman"/>
          <w:sz w:val="28"/>
        </w:rPr>
        <w:t>передачи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аренду земельных участков </w:t>
      </w:r>
      <w:r>
        <w:rPr>
          <w:rFonts w:ascii="Times New Roman" w:hAnsi="Times New Roman"/>
          <w:sz w:val="28"/>
        </w:rPr>
        <w:t xml:space="preserve">площадью не более 1 гектара </w:t>
      </w:r>
      <w:r>
        <w:rPr>
          <w:rFonts w:ascii="Times New Roman" w:hAnsi="Times New Roman"/>
          <w:sz w:val="28"/>
        </w:rPr>
        <w:t>без проведения торгов гражданам для веден</w:t>
      </w:r>
      <w:r>
        <w:rPr>
          <w:rFonts w:ascii="Times New Roman" w:hAnsi="Times New Roman"/>
          <w:sz w:val="28"/>
        </w:rPr>
        <w:t>ия личного подсобного хозяйства</w:t>
      </w:r>
      <w:r>
        <w:rPr>
          <w:rFonts w:ascii="Times New Roman" w:hAnsi="Times New Roman"/>
          <w:sz w:val="28"/>
        </w:rPr>
        <w:t>.</w:t>
      </w:r>
    </w:p>
    <w:p w14:paraId="0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Администрацией Яльчикского муниципального округа в 2022 году жителю дер. Малая Ерыкла Яльчикского муниципального округа без проведения торгов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аренду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 земельный участок</w:t>
      </w:r>
      <w:r>
        <w:rPr>
          <w:rFonts w:ascii="Times New Roman" w:hAnsi="Times New Roman"/>
          <w:sz w:val="28"/>
        </w:rPr>
        <w:t xml:space="preserve">, после передачи  которого общая площадь имеющихся у гражданина земельных участков, предназначенных для ведения личного подсобного хозяйства, </w:t>
      </w:r>
      <w:r>
        <w:rPr>
          <w:rFonts w:ascii="Times New Roman" w:hAnsi="Times New Roman"/>
          <w:sz w:val="28"/>
        </w:rPr>
        <w:t>более чем в 2 раза</w:t>
      </w:r>
      <w:r>
        <w:rPr>
          <w:rFonts w:ascii="Times New Roman" w:hAnsi="Times New Roman"/>
          <w:sz w:val="28"/>
        </w:rPr>
        <w:t xml:space="preserve"> превысила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максимальный размер общей площади земельных участков, которые могут находиться одновременно у граждан</w:t>
      </w:r>
      <w:r>
        <w:rPr>
          <w:rFonts w:ascii="Times New Roman" w:hAnsi="Times New Roman"/>
          <w:sz w:val="28"/>
        </w:rPr>
        <w:t xml:space="preserve">. 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связи с выявленными нарушениями закона прокуратурой в Яльчикский районный суд направлено исковое заявление о расторжении вышеуказанного договора,</w:t>
      </w:r>
      <w:r>
        <w:rPr>
          <w:rFonts w:ascii="Times New Roman" w:hAnsi="Times New Roman"/>
          <w:sz w:val="28"/>
        </w:rPr>
        <w:t xml:space="preserve"> которое по результатам рассмотрения удовлетворено. 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Всего в 2026 году прокуратурой района из незаконного владения в муниципалитет возращено 7 земельных участков.</w:t>
      </w:r>
    </w:p>
    <w:p w14:paraId="11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Яльчикского района </w:t>
      </w:r>
    </w:p>
    <w:p w14:paraId="14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советник юстиции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А.Н. Кудряшов</w:t>
      </w:r>
    </w:p>
    <w:p w14:paraId="1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7000000">
      <w:pPr>
        <w:widowControl w:val="1"/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margin">
                  <wp:posOffset>1568449</wp:posOffset>
                </wp:positionH>
                <wp:positionV relativeFrom="page">
                  <wp:posOffset>6248401</wp:posOffset>
                </wp:positionV>
                <wp:extent cx="3153410" cy="123825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153410" cy="1238250"/>
                        </a:xfrm>
                        <a:prstGeom prst="roundRect">
                          <a:avLst>
                            <a:gd fmla="val 10883" name="adj"/>
                          </a:avLst>
                        </a:prstGeom>
                        <a:noFill/>
                        <a:ln w="9525">
                          <a:solidFill>
                            <a:schemeClr val="dk1"/>
                          </a:solidFill>
                          <a:prstDash val="solid"/>
                          <a:headEnd len="med" type="none" w="med"/>
                          <a:tailEnd len="med" type="none" w="med"/>
                        </a:ln>
                      </wps:spPr>
                      <wps:txbx>
                        <w:txbxContent>
                          <w:p w14:paraId="18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</w:pPr>
                            <w:bookmarkStart w:id="4" w:name="SIGNERSTAMP1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4"/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14:paraId="19000000">
                            <w:pPr>
                              <w:pStyle w:val="Style_4"/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Theme="minorAscii" w:hAnsiTheme="minorHAnsi"/>
                                <w:b w:val="1"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14:paraId="1A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z w:val="22"/>
                              </w:rPr>
                            </w:pPr>
                          </w:p>
                          <w:p w14:paraId="1B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z w:val="22"/>
                              </w:rPr>
                            </w:pPr>
                          </w:p>
                          <w:p w14:paraId="1C000000">
                            <w:pPr>
                              <w:pStyle w:val="Style_4"/>
                              <w:rPr>
                                <w:rFonts w:asciiTheme="minorAscii" w:hAnsiTheme="minorHAnsi"/>
                                <w:color w:themeColor="dark1"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ctr" bIns="45720" lIns="91440" rIns="91440" tIns="45720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1D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1E000000">
      <w:pPr>
        <w:widowControl w:val="1"/>
        <w:spacing w:after="0" w:line="240" w:lineRule="exact"/>
        <w:ind/>
        <w:rPr>
          <w:rFonts w:ascii="Times New Roman" w:hAnsi="Times New Roman"/>
          <w:color w:themeColor="text1" w:val="000000"/>
          <w:sz w:val="28"/>
        </w:rPr>
      </w:pPr>
    </w:p>
    <w:sectPr>
      <w:headerReference r:id="rId3" w:type="default"/>
      <w:headerReference r:id="rId1" w:type="first"/>
      <w:footerReference r:id="rId2" w:type="first"/>
      <w:pgSz w:h="16838" w:orient="portrait" w:w="11906"/>
      <w:pgMar w:bottom="1134" w:footer="0" w:gutter="0" w:header="709" w:left="1701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2"/>
      <w:tblW w:type="auto" w:w="0"/>
      <w:jc w:val="center"/>
      <w:tblLayout w:type="fixed"/>
      <w:tblCellMar>
        <w:left w:type="dxa" w:w="57"/>
        <w:right w:type="dxa" w:w="57"/>
      </w:tblCellMar>
    </w:tblPr>
    <w:tblGrid>
      <w:gridCol w:w="5944"/>
      <w:gridCol w:w="3553"/>
    </w:tblGrid>
    <w:tr>
      <w:trPr>
        <w:trHeight w:hRule="atLeast" w:val="701"/>
      </w:trPr>
      <w:tc>
        <w:tcPr>
          <w:tcW w:type="dxa" w:w="5944"/>
          <w:tcBorders>
            <w:top w:sz="4" w:val="nil"/>
            <w:left w:sz="4" w:val="nil"/>
            <w:bottom w:sz="4" w:val="nil"/>
            <w:right w:sz="4" w:val="nil"/>
          </w:tcBorders>
          <w:tcMar>
            <w:left w:type="dxa" w:w="57"/>
            <w:right w:type="dxa" w:w="57"/>
          </w:tcMar>
        </w:tcPr>
        <w:p w14:paraId="03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</w:p>
      </w:tc>
      <w:tc>
        <w:tcPr>
          <w:tcW w:type="dxa" w:w="355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left w:type="dxa" w:w="57"/>
            <w:right w:type="dxa" w:w="57"/>
          </w:tcMar>
        </w:tcPr>
        <w:p w14:paraId="04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bookmarkStart w:id="1" w:name="SIGNERORG1"/>
          <w:r>
            <w:rPr>
              <w:rFonts w:ascii="Times New Roman" w:hAnsi="Times New Roman"/>
              <w:color w:themeColor="text1" w:val="000000"/>
              <w:sz w:val="16"/>
            </w:rPr>
            <w:t>SIGNERORG1</w:t>
          </w:r>
          <w:bookmarkEnd w:id="1"/>
        </w:p>
        <w:p w14:paraId="05000000">
          <w:pPr>
            <w:widowControl w:val="0"/>
            <w:spacing w:after="0" w:line="288" w:lineRule="auto"/>
            <w:ind/>
            <w:rPr>
              <w:rFonts w:ascii="Times New Roman" w:hAnsi="Times New Roman"/>
              <w:color w:themeColor="text1"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Дата: </w:t>
          </w:r>
          <w:bookmarkStart w:id="2" w:name="REGDATESTAMP"/>
          <w:r>
            <w:rPr>
              <w:rFonts w:ascii="Times New Roman" w:hAnsi="Times New Roman"/>
              <w:color w:themeColor="text1" w:val="000000"/>
              <w:sz w:val="16"/>
            </w:rPr>
            <w:t>REGDATESTAMP</w:t>
          </w:r>
          <w:bookmarkEnd w:id="2"/>
        </w:p>
        <w:p w14:paraId="06000000">
          <w:pPr>
            <w:widowControl w:val="0"/>
            <w:spacing w:after="0" w:line="288" w:lineRule="auto"/>
            <w:ind/>
            <w:rPr>
              <w:rFonts w:ascii="Times New Roman" w:hAnsi="Times New Roman"/>
              <w:color w:val="000000"/>
              <w:sz w:val="16"/>
            </w:rPr>
          </w:pPr>
          <w:r>
            <w:rPr>
              <w:rFonts w:ascii="Times New Roman" w:hAnsi="Times New Roman"/>
              <w:color w:themeColor="text1" w:val="000000"/>
              <w:sz w:val="16"/>
            </w:rPr>
            <w:t xml:space="preserve">№  </w:t>
          </w:r>
          <w:bookmarkStart w:id="3" w:name="REGNUMSTAMP"/>
          <w:r>
            <w:rPr>
              <w:rFonts w:ascii="Times New Roman" w:hAnsi="Times New Roman"/>
              <w:color w:themeColor="text1" w:val="000000"/>
              <w:sz w:val="16"/>
            </w:rPr>
            <w:t>REGNUMSTAMP</w:t>
          </w:r>
          <w:bookmarkEnd w:id="3"/>
        </w:p>
      </w:tc>
    </w:tr>
  </w:tbl>
  <w:p w14:paraId="07000000">
    <w:pPr>
      <w:pStyle w:val="Style_3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color w:themeColor="background1" w:val="FFFFFF"/>
      </w:rPr>
    </w:pPr>
    <w:r>
      <w:rPr>
        <w:color w:themeColor="background1" w:val="FFFFFF"/>
      </w:rPr>
      <w:fldChar w:fldCharType="begin"/>
    </w:r>
    <w:r>
      <w:rPr>
        <w:color w:themeColor="background1" w:val="FFFFFF"/>
      </w:rPr>
      <w:instrText xml:space="preserve">PAGE </w:instrText>
    </w:r>
    <w:r>
      <w:rPr>
        <w:color w:themeColor="background1" w:val="FFFFFF"/>
      </w:rPr>
      <w:fldChar w:fldCharType="separate"/>
    </w:r>
    <w:r>
      <w:rPr>
        <w:color w:themeColor="background1" w:val="FFFFFF"/>
      </w:rPr>
      <w:t xml:space="preserve"> </w:t>
    </w:r>
    <w:r>
      <w:rPr>
        <w:color w:themeColor="background1" w:val="FFFFFF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9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annotation text"/>
    <w:basedOn w:val="Style_4"/>
    <w:link w:val="Style_7_ch"/>
    <w:pPr>
      <w:widowControl w:val="1"/>
      <w:spacing w:line="240" w:lineRule="auto"/>
      <w:ind/>
    </w:pPr>
    <w:rPr>
      <w:sz w:val="20"/>
    </w:rPr>
  </w:style>
  <w:style w:styleId="Style_7_ch" w:type="character">
    <w:name w:val="annotation text"/>
    <w:basedOn w:val="Style_4_ch"/>
    <w:link w:val="Style_7"/>
    <w:rPr>
      <w:sz w:val="20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Endnote"/>
    <w:link w:val="Style_11_ch"/>
    <w:pPr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4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aption"/>
    <w:basedOn w:val="Style_4"/>
    <w:next w:val="Style_4"/>
    <w:link w:val="Style_13_ch"/>
    <w:pPr>
      <w:widowControl w:val="1"/>
      <w:spacing w:after="200" w:line="240" w:lineRule="auto"/>
      <w:ind/>
    </w:pPr>
    <w:rPr>
      <w:i w:val="1"/>
      <w:color w:themeColor="text2" w:val="44546A"/>
      <w:sz w:val="18"/>
    </w:rPr>
  </w:style>
  <w:style w:styleId="Style_13_ch" w:type="character">
    <w:name w:val="caption"/>
    <w:basedOn w:val="Style_4_ch"/>
    <w:link w:val="Style_13"/>
    <w:rPr>
      <w:i w:val="1"/>
      <w:color w:themeColor="text2" w:val="44546A"/>
      <w:sz w:val="18"/>
    </w:rPr>
  </w:style>
  <w:style w:styleId="Style_14" w:type="paragraph">
    <w:name w:val="Balloon Text"/>
    <w:basedOn w:val="Style_4"/>
    <w:link w:val="Style_14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4_ch"/>
    <w:link w:val="Style_14"/>
    <w:rPr>
      <w:rFonts w:ascii="Segoe UI" w:hAnsi="Segoe UI"/>
      <w:sz w:val="18"/>
    </w:rPr>
  </w:style>
  <w:style w:styleId="Style_15" w:type="paragraph">
    <w:name w:val="annotation subject"/>
    <w:basedOn w:val="Style_7"/>
    <w:next w:val="Style_7"/>
    <w:link w:val="Style_15_ch"/>
    <w:rPr>
      <w:b w:val="1"/>
    </w:rPr>
  </w:style>
  <w:style w:styleId="Style_15_ch" w:type="character">
    <w:name w:val="annotation subject"/>
    <w:basedOn w:val="Style_7_ch"/>
    <w:link w:val="Style_15"/>
    <w:rPr>
      <w:b w:val="1"/>
    </w:rPr>
  </w:style>
  <w:style w:styleId="Style_16" w:type="paragraph">
    <w:name w:val="toc 3"/>
    <w:next w:val="Style_4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4_ch"/>
    <w:link w:val="Style_1"/>
  </w:style>
  <w:style w:styleId="Style_17" w:type="paragraph">
    <w:name w:val="Основной текст1"/>
    <w:basedOn w:val="Style_4"/>
    <w:link w:val="Style_17_ch"/>
    <w:pPr>
      <w:widowControl w:val="0"/>
      <w:spacing w:after="70" w:line="264" w:lineRule="auto"/>
      <w:ind/>
      <w:jc w:val="center"/>
    </w:pPr>
    <w:rPr>
      <w:rFonts w:ascii="Times New Roman" w:hAnsi="Times New Roman"/>
      <w:color w:val="231F20"/>
      <w:sz w:val="20"/>
    </w:rPr>
  </w:style>
  <w:style w:styleId="Style_17_ch" w:type="character">
    <w:name w:val="Основной текст1"/>
    <w:basedOn w:val="Style_4_ch"/>
    <w:link w:val="Style_17"/>
    <w:rPr>
      <w:rFonts w:ascii="Times New Roman" w:hAnsi="Times New Roman"/>
      <w:color w:val="231F20"/>
      <w:sz w:val="20"/>
    </w:rPr>
  </w:style>
  <w:style w:styleId="Style_18" w:type="paragraph">
    <w:name w:val="heading 5"/>
    <w:next w:val="Style_4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4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Гипертекстовая ссылка"/>
    <w:link w:val="Style_20_ch"/>
    <w:rPr>
      <w:color w:val="008000"/>
    </w:rPr>
  </w:style>
  <w:style w:styleId="Style_20_ch" w:type="character">
    <w:name w:val="Гипертекстовая ссылка"/>
    <w:link w:val="Style_20"/>
    <w:rPr>
      <w:color w:val="008000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4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annotation reference"/>
    <w:basedOn w:val="Style_10"/>
    <w:link w:val="Style_25_ch"/>
    <w:rPr>
      <w:sz w:val="16"/>
    </w:rPr>
  </w:style>
  <w:style w:styleId="Style_25_ch" w:type="character">
    <w:name w:val="annotation reference"/>
    <w:basedOn w:val="Style_10_ch"/>
    <w:link w:val="Style_25"/>
    <w:rPr>
      <w:sz w:val="16"/>
    </w:rPr>
  </w:style>
  <w:style w:styleId="Style_26" w:type="paragraph">
    <w:name w:val="toc 9"/>
    <w:next w:val="Style_4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4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3" w:type="paragraph">
    <w:name w:val="footer"/>
    <w:basedOn w:val="Style_4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footer"/>
    <w:basedOn w:val="Style_4_ch"/>
    <w:link w:val="Style_3"/>
  </w:style>
  <w:style w:styleId="Style_28" w:type="paragraph">
    <w:name w:val="toc 5"/>
    <w:next w:val="Style_4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4"/>
    <w:link w:val="Style_2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Title"/>
    <w:next w:val="Style_4"/>
    <w:link w:val="Style_3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0_ch" w:type="character">
    <w:name w:val="Title"/>
    <w:link w:val="Style_30"/>
    <w:rPr>
      <w:rFonts w:ascii="XO Thames" w:hAnsi="XO Thames"/>
      <w:b w:val="1"/>
      <w:caps w:val="1"/>
      <w:sz w:val="40"/>
    </w:rPr>
  </w:style>
  <w:style w:styleId="Style_31" w:type="paragraph">
    <w:name w:val="heading 4"/>
    <w:next w:val="Style_4"/>
    <w:link w:val="Style_3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1_ch" w:type="character">
    <w:name w:val="heading 4"/>
    <w:link w:val="Style_31"/>
    <w:rPr>
      <w:rFonts w:ascii="XO Thames" w:hAnsi="XO Thames"/>
      <w:b w:val="1"/>
      <w:sz w:val="24"/>
    </w:rPr>
  </w:style>
  <w:style w:styleId="Style_32" w:type="paragraph">
    <w:name w:val="heading 2"/>
    <w:next w:val="Style_4"/>
    <w:link w:val="Style_3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styleId="Style_33" w:type="paragraph">
    <w:name w:val="Normal (Web)"/>
    <w:basedOn w:val="Style_4"/>
    <w:link w:val="Style_3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3_ch" w:type="character">
    <w:name w:val="Normal (Web)"/>
    <w:basedOn w:val="Style_4_ch"/>
    <w:link w:val="Style_33"/>
    <w:rPr>
      <w:rFonts w:ascii="Times New Roman" w:hAnsi="Times New Roman"/>
      <w:sz w:val="24"/>
    </w:rPr>
  </w:style>
  <w:style w:styleId="Style_34" w:type="paragraph">
    <w:name w:val="No Spacing"/>
    <w:link w:val="Style_34_ch"/>
    <w:pPr>
      <w:widowControl w:val="1"/>
      <w:spacing w:after="0" w:line="240" w:lineRule="auto"/>
      <w:ind/>
    </w:pPr>
  </w:style>
  <w:style w:styleId="Style_34_ch" w:type="character">
    <w:name w:val="No Spacing"/>
    <w:link w:val="Style_34"/>
  </w:style>
  <w:style w:styleId="Style_35" w:type="paragraph">
    <w:name w:val="Placeholder Text"/>
    <w:basedOn w:val="Style_10"/>
    <w:link w:val="Style_35_ch"/>
    <w:rPr>
      <w:color w:val="808080"/>
    </w:rPr>
  </w:style>
  <w:style w:styleId="Style_35_ch" w:type="character">
    <w:name w:val="Placeholder Text"/>
    <w:basedOn w:val="Style_10_ch"/>
    <w:link w:val="Style_35"/>
    <w:rPr>
      <w:color w:val="808080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2022-02-02T05:55:00Z</dcterms:created>
  <dcterms:modified xsi:type="dcterms:W3CDTF">2026-05-05T18:05:45Z</dcterms:modified>
</cp:coreProperties>
</file>