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7E" w:rsidRPr="00FC537F" w:rsidRDefault="00DA407E" w:rsidP="00DA407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537F">
        <w:rPr>
          <w:rFonts w:ascii="Times New Roman" w:hAnsi="Times New Roman"/>
          <w:b/>
          <w:sz w:val="24"/>
          <w:szCs w:val="24"/>
          <w:lang w:eastAsia="ru-RU"/>
        </w:rPr>
        <w:t>Информация о реализации</w:t>
      </w:r>
    </w:p>
    <w:p w:rsidR="00DA407E" w:rsidRPr="00FC537F" w:rsidRDefault="00DA407E" w:rsidP="00DA407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537F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 Аликовского района</w:t>
      </w:r>
    </w:p>
    <w:p w:rsidR="00DA407E" w:rsidRPr="00FC537F" w:rsidRDefault="00DA407E" w:rsidP="00DA407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537F">
        <w:rPr>
          <w:rFonts w:ascii="Times New Roman" w:hAnsi="Times New Roman"/>
          <w:b/>
          <w:sz w:val="24"/>
          <w:szCs w:val="24"/>
          <w:lang w:eastAsia="ru-RU"/>
        </w:rPr>
        <w:t>«Содействие занятости населения» в 202</w:t>
      </w:r>
      <w:r w:rsidR="00CA1619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FC537F">
        <w:rPr>
          <w:rFonts w:ascii="Times New Roman" w:hAnsi="Times New Roman"/>
          <w:b/>
          <w:sz w:val="24"/>
          <w:szCs w:val="24"/>
          <w:lang w:eastAsia="ru-RU"/>
        </w:rPr>
        <w:t xml:space="preserve"> году</w:t>
      </w:r>
    </w:p>
    <w:p w:rsidR="00DA407E" w:rsidRPr="00FC537F" w:rsidRDefault="00DA407E" w:rsidP="00DA407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>На ситуацию в сфере занятости населения и на рынке труда основное влияние оказывает положение в реальном секторе экономики Аликовского района.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>В этих условиях основной задачей в области регулирования рынка труда стало обеспечение реализации прав граждан на защиту от безработицы.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>Общая численност</w:t>
      </w:r>
      <w:r w:rsidR="00E5218F">
        <w:rPr>
          <w:rFonts w:ascii="Times New Roman" w:hAnsi="Times New Roman"/>
          <w:sz w:val="24"/>
          <w:szCs w:val="24"/>
          <w:lang w:eastAsia="ru-RU"/>
        </w:rPr>
        <w:t>ь безработных граждан повысилась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E5218F">
        <w:rPr>
          <w:rFonts w:ascii="Times New Roman" w:hAnsi="Times New Roman"/>
          <w:sz w:val="24"/>
          <w:szCs w:val="24"/>
          <w:lang w:eastAsia="ru-RU"/>
        </w:rPr>
        <w:t>37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человек на начало   202</w:t>
      </w:r>
      <w:r w:rsidR="00CA1619">
        <w:rPr>
          <w:rFonts w:ascii="Times New Roman" w:hAnsi="Times New Roman"/>
          <w:sz w:val="24"/>
          <w:szCs w:val="24"/>
          <w:lang w:eastAsia="ru-RU"/>
        </w:rPr>
        <w:t>2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года до </w:t>
      </w:r>
      <w:r w:rsidR="00E5218F">
        <w:rPr>
          <w:rFonts w:ascii="Times New Roman" w:hAnsi="Times New Roman"/>
          <w:sz w:val="24"/>
          <w:szCs w:val="24"/>
          <w:lang w:eastAsia="ru-RU"/>
        </w:rPr>
        <w:t>42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человек на 31 декабря 202</w:t>
      </w:r>
      <w:r w:rsidR="00CA1619">
        <w:rPr>
          <w:rFonts w:ascii="Times New Roman" w:hAnsi="Times New Roman"/>
          <w:sz w:val="24"/>
          <w:szCs w:val="24"/>
          <w:lang w:eastAsia="ru-RU"/>
        </w:rPr>
        <w:t>2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г.  При этом </w:t>
      </w:r>
      <w:proofErr w:type="gramStart"/>
      <w:r w:rsidRPr="00FC537F">
        <w:rPr>
          <w:rFonts w:ascii="Times New Roman" w:hAnsi="Times New Roman"/>
          <w:sz w:val="24"/>
          <w:szCs w:val="24"/>
          <w:lang w:eastAsia="ru-RU"/>
        </w:rPr>
        <w:t>уровень  регистрируемой</w:t>
      </w:r>
      <w:proofErr w:type="gramEnd"/>
      <w:r w:rsidRPr="00FC537F">
        <w:rPr>
          <w:rFonts w:ascii="Times New Roman" w:hAnsi="Times New Roman"/>
          <w:sz w:val="24"/>
          <w:szCs w:val="24"/>
          <w:lang w:eastAsia="ru-RU"/>
        </w:rPr>
        <w:t xml:space="preserve"> безработицы на 31 декабря 202</w:t>
      </w:r>
      <w:r w:rsidR="00CA1619">
        <w:rPr>
          <w:rFonts w:ascii="Times New Roman" w:hAnsi="Times New Roman"/>
          <w:sz w:val="24"/>
          <w:szCs w:val="24"/>
          <w:lang w:eastAsia="ru-RU"/>
        </w:rPr>
        <w:t>2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года составил  </w:t>
      </w:r>
      <w:r w:rsidR="00E5218F">
        <w:rPr>
          <w:rFonts w:ascii="Times New Roman" w:hAnsi="Times New Roman"/>
          <w:sz w:val="24"/>
          <w:szCs w:val="24"/>
          <w:lang w:eastAsia="ru-RU"/>
        </w:rPr>
        <w:t xml:space="preserve">0,56 </w:t>
      </w:r>
      <w:r w:rsidRPr="00FC537F">
        <w:rPr>
          <w:rFonts w:ascii="Times New Roman" w:hAnsi="Times New Roman"/>
          <w:sz w:val="24"/>
          <w:szCs w:val="24"/>
          <w:lang w:eastAsia="ru-RU"/>
        </w:rPr>
        <w:t>% от численности трудоспособного населения.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>Заявленная организациями потребность в работниках с учетом рабочих мест временного характера на 31 декабря 202</w:t>
      </w:r>
      <w:r w:rsidR="00CA1619">
        <w:rPr>
          <w:rFonts w:ascii="Times New Roman" w:hAnsi="Times New Roman"/>
          <w:sz w:val="24"/>
          <w:szCs w:val="24"/>
          <w:lang w:eastAsia="ru-RU"/>
        </w:rPr>
        <w:t>2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года составляет </w:t>
      </w:r>
      <w:r w:rsidR="00E5218F">
        <w:rPr>
          <w:rFonts w:ascii="Times New Roman" w:hAnsi="Times New Roman"/>
          <w:sz w:val="24"/>
          <w:szCs w:val="24"/>
          <w:lang w:eastAsia="ru-RU"/>
        </w:rPr>
        <w:t>908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вакансий, коэффициент напряженности </w:t>
      </w:r>
      <w:proofErr w:type="gramStart"/>
      <w:r w:rsidRPr="00FC537F">
        <w:rPr>
          <w:rFonts w:ascii="Times New Roman" w:hAnsi="Times New Roman"/>
          <w:sz w:val="24"/>
          <w:szCs w:val="24"/>
          <w:lang w:eastAsia="ru-RU"/>
        </w:rPr>
        <w:t>–</w:t>
      </w:r>
      <w:r w:rsidR="00E5218F">
        <w:rPr>
          <w:rFonts w:ascii="Times New Roman" w:hAnsi="Times New Roman"/>
          <w:sz w:val="24"/>
          <w:szCs w:val="24"/>
          <w:lang w:eastAsia="ru-RU"/>
        </w:rPr>
        <w:t xml:space="preserve">  0</w:t>
      </w:r>
      <w:proofErr w:type="gramEnd"/>
      <w:r w:rsidR="00E5218F">
        <w:rPr>
          <w:rFonts w:ascii="Times New Roman" w:hAnsi="Times New Roman"/>
          <w:sz w:val="24"/>
          <w:szCs w:val="24"/>
          <w:lang w:eastAsia="ru-RU"/>
        </w:rPr>
        <w:t>,42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человек на одну вакансию.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>Государственная политика в области содействия занятости реализовывается в рамках постоянно действующих мероприятий активной политики занятости, а также дополнительных мер, направленных на снижение напряженности на рынке труда Аликовского района, как и по всей Республике.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>Получателями государственных услуг в области содействия занятости населения в течение 12 месяцев 202</w:t>
      </w:r>
      <w:r w:rsidR="00CA1619">
        <w:rPr>
          <w:rFonts w:ascii="Times New Roman" w:hAnsi="Times New Roman"/>
          <w:sz w:val="24"/>
          <w:szCs w:val="24"/>
          <w:lang w:eastAsia="ru-RU"/>
        </w:rPr>
        <w:t>2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года стали </w:t>
      </w:r>
      <w:r w:rsidR="00E5218F">
        <w:rPr>
          <w:rFonts w:ascii="Times New Roman" w:hAnsi="Times New Roman"/>
          <w:sz w:val="24"/>
          <w:szCs w:val="24"/>
          <w:lang w:eastAsia="ru-RU"/>
        </w:rPr>
        <w:t>546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человек. При содействии центра занятости трудоустроено </w:t>
      </w:r>
      <w:r w:rsidR="00E5218F">
        <w:rPr>
          <w:rFonts w:ascii="Times New Roman" w:hAnsi="Times New Roman"/>
          <w:sz w:val="24"/>
          <w:szCs w:val="24"/>
          <w:lang w:eastAsia="ru-RU"/>
        </w:rPr>
        <w:t>513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человек или </w:t>
      </w:r>
      <w:r w:rsidR="00E5218F">
        <w:rPr>
          <w:rFonts w:ascii="Times New Roman" w:hAnsi="Times New Roman"/>
          <w:sz w:val="24"/>
          <w:szCs w:val="24"/>
          <w:lang w:eastAsia="ru-RU"/>
        </w:rPr>
        <w:t xml:space="preserve">93,9 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% от общей </w:t>
      </w:r>
      <w:proofErr w:type="gramStart"/>
      <w:r w:rsidRPr="00FC537F">
        <w:rPr>
          <w:rFonts w:ascii="Times New Roman" w:hAnsi="Times New Roman"/>
          <w:sz w:val="24"/>
          <w:szCs w:val="24"/>
          <w:lang w:eastAsia="ru-RU"/>
        </w:rPr>
        <w:t>численности</w:t>
      </w:r>
      <w:proofErr w:type="gramEnd"/>
      <w:r w:rsidRPr="00FC537F">
        <w:rPr>
          <w:rFonts w:ascii="Times New Roman" w:hAnsi="Times New Roman"/>
          <w:sz w:val="24"/>
          <w:szCs w:val="24"/>
          <w:lang w:eastAsia="ru-RU"/>
        </w:rPr>
        <w:t xml:space="preserve"> обратившихся за содействием в поиске подходящей работы.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 xml:space="preserve">Динамика уровня регистрируемой безработицы по Аликовскому району во </w:t>
      </w:r>
      <w:r w:rsidRPr="00FC537F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полугодии 202</w:t>
      </w:r>
      <w:r w:rsidR="00CA1619">
        <w:rPr>
          <w:rFonts w:ascii="Times New Roman" w:hAnsi="Times New Roman"/>
          <w:sz w:val="24"/>
          <w:szCs w:val="24"/>
          <w:lang w:eastAsia="ru-RU"/>
        </w:rPr>
        <w:t>2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в сравнении с аналогичным периодом прошлого года </w:t>
      </w:r>
      <w:r w:rsidRPr="00FC537F">
        <w:rPr>
          <w:rFonts w:ascii="Times New Roman" w:hAnsi="Times New Roman"/>
          <w:sz w:val="24"/>
          <w:szCs w:val="24"/>
          <w:lang w:eastAsia="ru-RU"/>
        </w:rPr>
        <w:t>представлена в табл. 1.</w:t>
      </w:r>
    </w:p>
    <w:p w:rsidR="00DA407E" w:rsidRPr="00FC537F" w:rsidRDefault="00DA407E" w:rsidP="00DA407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>Таблица 1</w:t>
      </w:r>
    </w:p>
    <w:p w:rsidR="00DA407E" w:rsidRPr="00FC537F" w:rsidRDefault="00DA407E" w:rsidP="00DA407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 xml:space="preserve">Уровень регистрируемой безработицы по Аликовскому району </w:t>
      </w:r>
      <w:r>
        <w:rPr>
          <w:rFonts w:ascii="Times New Roman" w:hAnsi="Times New Roman"/>
          <w:sz w:val="24"/>
          <w:szCs w:val="24"/>
          <w:lang w:eastAsia="ru-RU"/>
        </w:rPr>
        <w:t>в сравнении с аналогичным периодом прошлого года</w:t>
      </w:r>
    </w:p>
    <w:p w:rsidR="00DA407E" w:rsidRPr="00FC537F" w:rsidRDefault="00DA407E" w:rsidP="00DA407E">
      <w:pPr>
        <w:jc w:val="right"/>
        <w:rPr>
          <w:rFonts w:ascii="Times New Roman" w:hAnsi="Times New Roman"/>
          <w:sz w:val="24"/>
          <w:szCs w:val="24"/>
        </w:rPr>
      </w:pPr>
      <w:r w:rsidRPr="00FC537F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756"/>
        <w:gridCol w:w="783"/>
        <w:gridCol w:w="783"/>
        <w:gridCol w:w="783"/>
        <w:gridCol w:w="783"/>
        <w:gridCol w:w="783"/>
        <w:gridCol w:w="783"/>
      </w:tblGrid>
      <w:tr w:rsidR="00DA407E" w:rsidRPr="00FC537F" w:rsidTr="000E0699">
        <w:trPr>
          <w:trHeight w:val="405"/>
        </w:trPr>
        <w:tc>
          <w:tcPr>
            <w:tcW w:w="3681" w:type="dxa"/>
            <w:vMerge w:val="restart"/>
            <w:tcBorders>
              <w:tl2br w:val="single" w:sz="4" w:space="0" w:color="auto"/>
            </w:tcBorders>
          </w:tcPr>
          <w:p w:rsidR="00DA407E" w:rsidRDefault="00DA407E" w:rsidP="00376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DA407E" w:rsidRDefault="00DA407E" w:rsidP="003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407E" w:rsidRDefault="00DA407E" w:rsidP="003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A407E" w:rsidRPr="001875F3" w:rsidRDefault="00DA407E" w:rsidP="003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муниципалитета</w:t>
            </w:r>
          </w:p>
        </w:tc>
        <w:tc>
          <w:tcPr>
            <w:tcW w:w="5089" w:type="dxa"/>
            <w:gridSpan w:val="7"/>
          </w:tcPr>
          <w:p w:rsidR="00DA407E" w:rsidRPr="00FC537F" w:rsidRDefault="00DA407E" w:rsidP="00376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DA407E" w:rsidRPr="00FC537F" w:rsidTr="000E0699">
        <w:trPr>
          <w:trHeight w:val="615"/>
        </w:trPr>
        <w:tc>
          <w:tcPr>
            <w:tcW w:w="3681" w:type="dxa"/>
            <w:vMerge/>
          </w:tcPr>
          <w:p w:rsidR="00DA407E" w:rsidRPr="00FC537F" w:rsidRDefault="00DA407E" w:rsidP="003763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DA407E" w:rsidRPr="00FC537F" w:rsidRDefault="00DA407E" w:rsidP="00376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на 01.06</w:t>
            </w:r>
          </w:p>
        </w:tc>
        <w:tc>
          <w:tcPr>
            <w:tcW w:w="790" w:type="dxa"/>
          </w:tcPr>
          <w:p w:rsidR="00DA407E" w:rsidRPr="00FC537F" w:rsidRDefault="00DA407E" w:rsidP="00376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на 01.0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DA407E" w:rsidRPr="00FC537F" w:rsidRDefault="00DA407E" w:rsidP="00376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на 01.0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:rsidR="00DA407E" w:rsidRPr="00FC537F" w:rsidRDefault="00DA407E" w:rsidP="00376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на 01.0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DA407E" w:rsidRPr="00FC537F" w:rsidRDefault="00DA407E" w:rsidP="00376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на 01.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DA407E" w:rsidRPr="00FC537F" w:rsidRDefault="00DA407E" w:rsidP="00376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на 01.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DA407E" w:rsidRPr="00FC537F" w:rsidRDefault="00DA407E" w:rsidP="00376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на 01.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A407E" w:rsidRPr="00FC537F" w:rsidTr="000E0699">
        <w:tc>
          <w:tcPr>
            <w:tcW w:w="3681" w:type="dxa"/>
          </w:tcPr>
          <w:p w:rsidR="00DA407E" w:rsidRPr="00FC537F" w:rsidRDefault="00DA407E" w:rsidP="003763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407E" w:rsidRPr="00FC537F" w:rsidRDefault="00DA407E" w:rsidP="003763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Аликовский район</w:t>
            </w:r>
          </w:p>
        </w:tc>
        <w:tc>
          <w:tcPr>
            <w:tcW w:w="349" w:type="dxa"/>
          </w:tcPr>
          <w:p w:rsidR="00DA407E" w:rsidRPr="00FC537F" w:rsidRDefault="00DA407E" w:rsidP="00376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790" w:type="dxa"/>
          </w:tcPr>
          <w:p w:rsidR="00DA407E" w:rsidRPr="00FC537F" w:rsidRDefault="00DA407E" w:rsidP="00376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790" w:type="dxa"/>
          </w:tcPr>
          <w:p w:rsidR="00DA407E" w:rsidRPr="00FC537F" w:rsidRDefault="00DA407E" w:rsidP="00376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790" w:type="dxa"/>
          </w:tcPr>
          <w:p w:rsidR="00DA407E" w:rsidRPr="00FC537F" w:rsidRDefault="00DA407E" w:rsidP="00376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790" w:type="dxa"/>
          </w:tcPr>
          <w:p w:rsidR="00DA407E" w:rsidRPr="00FC537F" w:rsidRDefault="00DA407E" w:rsidP="00376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90" w:type="dxa"/>
          </w:tcPr>
          <w:p w:rsidR="00DA407E" w:rsidRPr="00FC537F" w:rsidRDefault="00DA407E" w:rsidP="00376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790" w:type="dxa"/>
          </w:tcPr>
          <w:p w:rsidR="00DA407E" w:rsidRPr="00FC537F" w:rsidRDefault="00DA407E" w:rsidP="00376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</w:tr>
      <w:tr w:rsidR="00DA407E" w:rsidRPr="00FC537F" w:rsidTr="000E0699">
        <w:trPr>
          <w:trHeight w:val="435"/>
        </w:trPr>
        <w:tc>
          <w:tcPr>
            <w:tcW w:w="3681" w:type="dxa"/>
            <w:vMerge w:val="restart"/>
            <w:tcBorders>
              <w:tl2br w:val="single" w:sz="4" w:space="0" w:color="auto"/>
            </w:tcBorders>
          </w:tcPr>
          <w:p w:rsidR="00DA407E" w:rsidRDefault="00DA407E" w:rsidP="00376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DA407E" w:rsidRDefault="00DA407E" w:rsidP="003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407E" w:rsidRDefault="00DA407E" w:rsidP="003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A407E" w:rsidRPr="00FC537F" w:rsidRDefault="00DA407E" w:rsidP="003763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муниципалитета</w:t>
            </w:r>
            <w:r w:rsidRPr="00FC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89" w:type="dxa"/>
            <w:gridSpan w:val="7"/>
          </w:tcPr>
          <w:p w:rsidR="00DA407E" w:rsidRPr="00FC537F" w:rsidRDefault="00DA407E" w:rsidP="00CA161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75F3">
              <w:rPr>
                <w:rFonts w:ascii="Times New Roman" w:hAnsi="Times New Roman"/>
                <w:sz w:val="24"/>
                <w:szCs w:val="24"/>
              </w:rPr>
              <w:t>202</w:t>
            </w:r>
            <w:r w:rsidR="00CA1619">
              <w:rPr>
                <w:rFonts w:ascii="Times New Roman" w:hAnsi="Times New Roman"/>
                <w:sz w:val="24"/>
                <w:szCs w:val="24"/>
              </w:rPr>
              <w:t>2</w:t>
            </w:r>
            <w:r w:rsidRPr="001875F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A407E" w:rsidRPr="00FC537F" w:rsidTr="000E0699">
        <w:trPr>
          <w:trHeight w:val="600"/>
        </w:trPr>
        <w:tc>
          <w:tcPr>
            <w:tcW w:w="3681" w:type="dxa"/>
            <w:vMerge/>
          </w:tcPr>
          <w:p w:rsidR="00DA407E" w:rsidRPr="00FC537F" w:rsidRDefault="00DA407E" w:rsidP="003763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DA407E" w:rsidRPr="00FC537F" w:rsidRDefault="00DA407E" w:rsidP="00376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на 01.06</w:t>
            </w:r>
          </w:p>
        </w:tc>
        <w:tc>
          <w:tcPr>
            <w:tcW w:w="790" w:type="dxa"/>
          </w:tcPr>
          <w:p w:rsidR="00DA407E" w:rsidRPr="00FC537F" w:rsidRDefault="00DA407E" w:rsidP="00376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на 01.0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DA407E" w:rsidRPr="00FC537F" w:rsidRDefault="00DA407E" w:rsidP="00376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на 01.0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:rsidR="00DA407E" w:rsidRPr="00FC537F" w:rsidRDefault="00DA407E" w:rsidP="00376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на 01.0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DA407E" w:rsidRPr="00FC537F" w:rsidRDefault="00DA407E" w:rsidP="00376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на 01.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DA407E" w:rsidRPr="00FC537F" w:rsidRDefault="00DA407E" w:rsidP="00376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на 01.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DA407E" w:rsidRPr="00FC537F" w:rsidRDefault="00DA407E" w:rsidP="00376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7F">
              <w:rPr>
                <w:rFonts w:ascii="Times New Roman" w:hAnsi="Times New Roman"/>
                <w:sz w:val="24"/>
                <w:szCs w:val="24"/>
              </w:rPr>
              <w:t>на 01.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A407E" w:rsidRPr="00FC537F" w:rsidTr="000E0699">
        <w:tc>
          <w:tcPr>
            <w:tcW w:w="3681" w:type="dxa"/>
          </w:tcPr>
          <w:p w:rsidR="00DA407E" w:rsidRPr="00FC537F" w:rsidRDefault="00DA407E" w:rsidP="003763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Аликовский район</w:t>
            </w:r>
          </w:p>
        </w:tc>
        <w:tc>
          <w:tcPr>
            <w:tcW w:w="349" w:type="dxa"/>
          </w:tcPr>
          <w:p w:rsidR="00DA407E" w:rsidRPr="00B46229" w:rsidRDefault="00E5218F" w:rsidP="00376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790" w:type="dxa"/>
          </w:tcPr>
          <w:p w:rsidR="00DA407E" w:rsidRPr="00B46229" w:rsidRDefault="00E5218F" w:rsidP="00376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790" w:type="dxa"/>
          </w:tcPr>
          <w:p w:rsidR="00DA407E" w:rsidRPr="00B46229" w:rsidRDefault="00E5218F" w:rsidP="00376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790" w:type="dxa"/>
          </w:tcPr>
          <w:p w:rsidR="00DA407E" w:rsidRPr="00B46229" w:rsidRDefault="00E5218F" w:rsidP="00376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790" w:type="dxa"/>
          </w:tcPr>
          <w:p w:rsidR="00DA407E" w:rsidRPr="00B46229" w:rsidRDefault="00E5218F" w:rsidP="00376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90" w:type="dxa"/>
          </w:tcPr>
          <w:p w:rsidR="00DA407E" w:rsidRPr="00B46229" w:rsidRDefault="00E5218F" w:rsidP="00376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790" w:type="dxa"/>
          </w:tcPr>
          <w:p w:rsidR="00DA407E" w:rsidRPr="00B46229" w:rsidRDefault="00E5218F" w:rsidP="00376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</w:tr>
    </w:tbl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> 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>В 202</w:t>
      </w:r>
      <w:r w:rsidR="00CA1619">
        <w:rPr>
          <w:rFonts w:ascii="Times New Roman" w:hAnsi="Times New Roman"/>
          <w:sz w:val="24"/>
          <w:szCs w:val="24"/>
          <w:lang w:eastAsia="ru-RU"/>
        </w:rPr>
        <w:t>2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году государственные услуги в области содействия занятости получили: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 xml:space="preserve">по организации профессиональной ориентации </w:t>
      </w:r>
      <w:proofErr w:type="gramStart"/>
      <w:r w:rsidRPr="00FC537F">
        <w:rPr>
          <w:rFonts w:ascii="Times New Roman" w:hAnsi="Times New Roman"/>
          <w:sz w:val="24"/>
          <w:szCs w:val="24"/>
          <w:lang w:eastAsia="ru-RU"/>
        </w:rPr>
        <w:t xml:space="preserve">–  </w:t>
      </w:r>
      <w:r w:rsidR="00E5218F">
        <w:rPr>
          <w:rFonts w:ascii="Times New Roman" w:hAnsi="Times New Roman"/>
          <w:sz w:val="24"/>
          <w:szCs w:val="24"/>
          <w:lang w:eastAsia="ru-RU"/>
        </w:rPr>
        <w:t>499</w:t>
      </w:r>
      <w:proofErr w:type="gramEnd"/>
      <w:r w:rsidRPr="00FC537F">
        <w:rPr>
          <w:rFonts w:ascii="Times New Roman" w:hAnsi="Times New Roman"/>
          <w:sz w:val="24"/>
          <w:szCs w:val="24"/>
          <w:lang w:eastAsia="ru-RU"/>
        </w:rPr>
        <w:t> граждан;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 xml:space="preserve">по профессиональному обучению – </w:t>
      </w:r>
      <w:r w:rsidR="00035E89">
        <w:rPr>
          <w:rFonts w:ascii="Times New Roman" w:hAnsi="Times New Roman"/>
          <w:sz w:val="24"/>
          <w:szCs w:val="24"/>
          <w:lang w:eastAsia="ru-RU"/>
        </w:rPr>
        <w:t>19</w:t>
      </w:r>
      <w:r w:rsidRPr="00FC53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FC537F">
        <w:rPr>
          <w:rFonts w:ascii="Times New Roman" w:hAnsi="Times New Roman"/>
          <w:sz w:val="24"/>
          <w:szCs w:val="24"/>
          <w:lang w:eastAsia="ru-RU"/>
        </w:rPr>
        <w:t>безработных граждан;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>по социальной адаптации на рынке труда –</w:t>
      </w:r>
      <w:r w:rsidR="00035E89">
        <w:rPr>
          <w:rFonts w:ascii="Times New Roman" w:hAnsi="Times New Roman"/>
          <w:sz w:val="24"/>
          <w:szCs w:val="24"/>
          <w:lang w:eastAsia="ru-RU"/>
        </w:rPr>
        <w:t xml:space="preserve"> 36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безработных граждан;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 xml:space="preserve">по психологической поддержке – </w:t>
      </w:r>
      <w:r w:rsidR="00035E89">
        <w:rPr>
          <w:rFonts w:ascii="Times New Roman" w:hAnsi="Times New Roman"/>
          <w:sz w:val="24"/>
          <w:szCs w:val="24"/>
          <w:lang w:eastAsia="ru-RU"/>
        </w:rPr>
        <w:t>20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безработных граждан;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 xml:space="preserve">К оплачиваемым общественным работам приступили </w:t>
      </w:r>
      <w:r w:rsidR="00035E89">
        <w:rPr>
          <w:rFonts w:ascii="Times New Roman" w:hAnsi="Times New Roman"/>
          <w:sz w:val="24"/>
          <w:szCs w:val="24"/>
          <w:lang w:eastAsia="ru-RU"/>
        </w:rPr>
        <w:t>74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безработных граждан, на временные работы трудоустроены</w:t>
      </w:r>
      <w:r w:rsidR="00035E89">
        <w:rPr>
          <w:rFonts w:ascii="Times New Roman" w:hAnsi="Times New Roman"/>
          <w:sz w:val="24"/>
          <w:szCs w:val="24"/>
          <w:lang w:eastAsia="ru-RU"/>
        </w:rPr>
        <w:t xml:space="preserve"> 10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безработных граждан, испытывающих трудности в поиске работы. 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gramStart"/>
      <w:r w:rsidRPr="00FC537F">
        <w:rPr>
          <w:rFonts w:ascii="Times New Roman" w:hAnsi="Times New Roman"/>
          <w:sz w:val="24"/>
          <w:szCs w:val="24"/>
          <w:lang w:eastAsia="ru-RU"/>
        </w:rPr>
        <w:t>итогам  202</w:t>
      </w:r>
      <w:r w:rsidR="00A51A8A"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Pr="00FC537F">
        <w:rPr>
          <w:rFonts w:ascii="Times New Roman" w:hAnsi="Times New Roman"/>
          <w:sz w:val="24"/>
          <w:szCs w:val="24"/>
          <w:lang w:eastAsia="ru-RU"/>
        </w:rPr>
        <w:t xml:space="preserve"> года на временные работы было трудоустроено </w:t>
      </w:r>
      <w:r w:rsidR="00035E89">
        <w:rPr>
          <w:rFonts w:ascii="Times New Roman" w:hAnsi="Times New Roman"/>
          <w:sz w:val="24"/>
          <w:szCs w:val="24"/>
          <w:lang w:eastAsia="ru-RU"/>
        </w:rPr>
        <w:t>362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несовершеннолетних гражданина в возрасте от 14 до 18 лет.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настоящее время наибольшая потребность в работниках </w:t>
      </w:r>
      <w:proofErr w:type="gramStart"/>
      <w:r w:rsidRPr="00FC537F">
        <w:rPr>
          <w:rFonts w:ascii="Times New Roman" w:hAnsi="Times New Roman"/>
          <w:sz w:val="24"/>
          <w:szCs w:val="24"/>
          <w:lang w:eastAsia="ru-RU"/>
        </w:rPr>
        <w:t>отмечается  в</w:t>
      </w:r>
      <w:proofErr w:type="gramEnd"/>
      <w:r w:rsidRPr="00FC537F">
        <w:rPr>
          <w:rFonts w:ascii="Times New Roman" w:hAnsi="Times New Roman"/>
          <w:sz w:val="24"/>
          <w:szCs w:val="24"/>
          <w:lang w:eastAsia="ru-RU"/>
        </w:rPr>
        <w:t xml:space="preserve">  здравоохранении,  оптовой и розничной торговле, общественном питании. С учетом достигнутых в предыдущие годы результатов в районе определены следующие приоритеты: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>мероприятия направлены на повышение качества рабочей силы в целях обеспечения развития инновационной экономики, а также повышение эффективности использования имеющихся трудовых ресурсов;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>общественные и временные работы организуются только для работников, находящихся под угрозой увольнения;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>Одновременно сохранены мероприятия, по которым в предыдущих годах накоплен положительный опыт реализации: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>стажировка выпускников образовательных учреждений в целях приобретения опыта работы;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 xml:space="preserve">содействие </w:t>
      </w:r>
      <w:proofErr w:type="spellStart"/>
      <w:r w:rsidRPr="00FC537F">
        <w:rPr>
          <w:rFonts w:ascii="Times New Roman" w:hAnsi="Times New Roman"/>
          <w:sz w:val="24"/>
          <w:szCs w:val="24"/>
          <w:lang w:eastAsia="ru-RU"/>
        </w:rPr>
        <w:t>самозанятости</w:t>
      </w:r>
      <w:proofErr w:type="spellEnd"/>
      <w:r w:rsidRPr="00FC537F">
        <w:rPr>
          <w:rFonts w:ascii="Times New Roman" w:hAnsi="Times New Roman"/>
          <w:sz w:val="24"/>
          <w:szCs w:val="24"/>
          <w:lang w:eastAsia="ru-RU"/>
        </w:rPr>
        <w:t xml:space="preserve"> безработных граждан и стимулирование создания гражданами из числа безработных, открывших собственное дело, дополнительных рабочих мест для трудоустройства безработных граждан.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>Экономический рост обеспечит решение основных социальных задач – создание новых рабочих мест, рост заработной платы и доходов населения.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 xml:space="preserve">Реализация мероприятий, оказывающих влияние на ситуацию в сфере занятости населения и на рынке труда (трудоустройство незанятых граждан на постоянную и временную работу, направление безработных граждан для обучения профессиям, специальностям, востребованным на рынке труда, оказание социальной поддержки безработным гражданам, организация </w:t>
      </w:r>
      <w:proofErr w:type="spellStart"/>
      <w:r w:rsidRPr="00FC537F">
        <w:rPr>
          <w:rFonts w:ascii="Times New Roman" w:hAnsi="Times New Roman"/>
          <w:sz w:val="24"/>
          <w:szCs w:val="24"/>
          <w:lang w:eastAsia="ru-RU"/>
        </w:rPr>
        <w:t>самозанятости</w:t>
      </w:r>
      <w:proofErr w:type="spellEnd"/>
      <w:r w:rsidRPr="00FC537F">
        <w:rPr>
          <w:rFonts w:ascii="Times New Roman" w:hAnsi="Times New Roman"/>
          <w:sz w:val="24"/>
          <w:szCs w:val="24"/>
          <w:lang w:eastAsia="ru-RU"/>
        </w:rPr>
        <w:t xml:space="preserve"> безработных граждан), будет способствовать снижению численности зарегистрированных безработных граждан.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 xml:space="preserve">В Аликовском районе ведется целенаправленная работа по социальной защите инвалидов и других маломобильных групп населения, направленная на улучшение их социального положения, повышение качества жизни, обеспечение занятости лиц трудоспособного возраста. С этой целью принят </w:t>
      </w:r>
      <w:hyperlink r:id="rId5" w:history="1">
        <w:r w:rsidRPr="00FC537F">
          <w:rPr>
            <w:rFonts w:ascii="Times New Roman" w:hAnsi="Times New Roman"/>
            <w:sz w:val="24"/>
            <w:szCs w:val="24"/>
            <w:lang w:eastAsia="ru-RU"/>
          </w:rPr>
          <w:t>Закон</w:t>
        </w:r>
      </w:hyperlink>
      <w:r w:rsidRPr="00FC537F">
        <w:rPr>
          <w:rFonts w:ascii="Times New Roman" w:hAnsi="Times New Roman"/>
          <w:sz w:val="24"/>
          <w:szCs w:val="24"/>
          <w:lang w:eastAsia="ru-RU"/>
        </w:rPr>
        <w:t xml:space="preserve"> Чувашской Республики «О квотировании рабочих мест для инвалидов в Чувашской Республике», которым организациям установлена квота для приема на работу инвалидов.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 xml:space="preserve">Проводится мониторинг трудоустройства и </w:t>
      </w:r>
      <w:proofErr w:type="spellStart"/>
      <w:r w:rsidRPr="00FC537F">
        <w:rPr>
          <w:rFonts w:ascii="Times New Roman" w:hAnsi="Times New Roman"/>
          <w:sz w:val="24"/>
          <w:szCs w:val="24"/>
          <w:lang w:eastAsia="ru-RU"/>
        </w:rPr>
        <w:t>закрепляемости</w:t>
      </w:r>
      <w:proofErr w:type="spellEnd"/>
      <w:r w:rsidRPr="00FC537F">
        <w:rPr>
          <w:rFonts w:ascii="Times New Roman" w:hAnsi="Times New Roman"/>
          <w:sz w:val="24"/>
          <w:szCs w:val="24"/>
          <w:lang w:eastAsia="ru-RU"/>
        </w:rPr>
        <w:t xml:space="preserve"> на оборудованных (оснащенных) рабочих местах инвалидов. 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ст.25 Закона Российской Федерации «О занятости населения в Российской </w:t>
      </w:r>
      <w:proofErr w:type="gramStart"/>
      <w:r w:rsidRPr="00FC537F">
        <w:rPr>
          <w:rFonts w:ascii="Times New Roman" w:hAnsi="Times New Roman"/>
          <w:sz w:val="24"/>
          <w:szCs w:val="24"/>
          <w:lang w:eastAsia="ru-RU"/>
        </w:rPr>
        <w:t>Федерации»  на</w:t>
      </w:r>
      <w:proofErr w:type="gramEnd"/>
      <w:r w:rsidRPr="00FC537F">
        <w:rPr>
          <w:rFonts w:ascii="Times New Roman" w:hAnsi="Times New Roman"/>
          <w:sz w:val="24"/>
          <w:szCs w:val="24"/>
          <w:lang w:eastAsia="ru-RU"/>
        </w:rPr>
        <w:t xml:space="preserve"> работодателя, в т.ч. и индивидуального предпринимателя, возложена обязанность ежемесячно представлять в органы службы занятости сведения о выполнении квоты для приема на работу инвалидов.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 xml:space="preserve">В ходе реализации Закона Чувашской республики от 25 ноября 2011 года № 68 «О квотировании рабочих мест для инвалидов в Чувашской Республике» с последними изменениями от 28 апреля 2018 года,  а также в целях реализации указа Президента РФ </w:t>
      </w:r>
      <w:proofErr w:type="spellStart"/>
      <w:r w:rsidRPr="00FC537F">
        <w:rPr>
          <w:rFonts w:ascii="Times New Roman" w:hAnsi="Times New Roman"/>
          <w:sz w:val="24"/>
          <w:szCs w:val="24"/>
          <w:lang w:eastAsia="ru-RU"/>
        </w:rPr>
        <w:t>В.В.Путина</w:t>
      </w:r>
      <w:proofErr w:type="spellEnd"/>
      <w:r w:rsidRPr="00FC537F">
        <w:rPr>
          <w:rFonts w:ascii="Times New Roman" w:hAnsi="Times New Roman"/>
          <w:sz w:val="24"/>
          <w:szCs w:val="24"/>
          <w:lang w:eastAsia="ru-RU"/>
        </w:rPr>
        <w:t xml:space="preserve"> от 7 мая 1012 года № 597 «О мероприятиях по реализации государственной социальной политики»  с целью создания условий для повышения уровня занятости инвалидов, в т.ч. на оборудованные рабочие места,  Отдел КУ ЧР «ЦЗН Чувашской Республики» Министерства труда м социальной защиты Чувашской Республики в Аликовском районе большой упор делает на взаимодействие с работодателями. Всем предприятиям (с численностью более 100 человек и от 35 до 100 человек) были высланы уведомления, где отмечены основные вопросы для дальнейшей работы.</w:t>
      </w: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>На 1 января 202</w:t>
      </w:r>
      <w:r w:rsidR="00A51A8A">
        <w:rPr>
          <w:rFonts w:ascii="Times New Roman" w:hAnsi="Times New Roman"/>
          <w:sz w:val="24"/>
          <w:szCs w:val="24"/>
          <w:lang w:eastAsia="ru-RU"/>
        </w:rPr>
        <w:t>3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года в Аликовском районе насчитывается </w:t>
      </w:r>
      <w:r w:rsidR="00035E89">
        <w:rPr>
          <w:rFonts w:ascii="Times New Roman" w:hAnsi="Times New Roman"/>
          <w:sz w:val="24"/>
          <w:szCs w:val="24"/>
          <w:lang w:eastAsia="ru-RU"/>
        </w:rPr>
        <w:t>11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организаций с численностью работающих от 35 до 100 человек, обязанных принимать инвалидов в рамках установленной квоты. </w:t>
      </w:r>
    </w:p>
    <w:p w:rsidR="00DA407E" w:rsidRPr="00FC537F" w:rsidRDefault="00DA407E" w:rsidP="00DA407E">
      <w:pPr>
        <w:suppressAutoHyphens/>
        <w:overflowPunct w:val="0"/>
        <w:autoSpaceDE w:val="0"/>
        <w:spacing w:after="0" w:line="240" w:lineRule="auto"/>
        <w:ind w:left="440" w:hanging="330"/>
        <w:jc w:val="center"/>
        <w:rPr>
          <w:rFonts w:ascii="Times New Roman" w:eastAsia="Times New Roman" w:hAnsi="Times New Roman"/>
          <w:b/>
          <w:sz w:val="18"/>
          <w:szCs w:val="20"/>
          <w:lang w:eastAsia="ar-SA"/>
        </w:rPr>
      </w:pPr>
    </w:p>
    <w:p w:rsidR="00035E89" w:rsidRDefault="00035E89" w:rsidP="00DA407E">
      <w:pPr>
        <w:suppressAutoHyphens/>
        <w:overflowPunct w:val="0"/>
        <w:autoSpaceDE w:val="0"/>
        <w:spacing w:after="0" w:line="240" w:lineRule="auto"/>
        <w:ind w:left="440" w:hanging="33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8E542B" w:rsidRPr="00FC537F" w:rsidRDefault="008E542B" w:rsidP="008E542B">
      <w:pPr>
        <w:suppressAutoHyphens/>
        <w:overflowPunct w:val="0"/>
        <w:autoSpaceDE w:val="0"/>
        <w:spacing w:after="0" w:line="240" w:lineRule="auto"/>
        <w:ind w:left="440" w:hanging="33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537F">
        <w:rPr>
          <w:rFonts w:ascii="Times New Roman" w:eastAsia="Times New Roman" w:hAnsi="Times New Roman"/>
          <w:b/>
          <w:sz w:val="24"/>
          <w:szCs w:val="24"/>
          <w:lang w:eastAsia="ar-SA"/>
        </w:rPr>
        <w:t>Сведения</w:t>
      </w:r>
    </w:p>
    <w:p w:rsidR="008E542B" w:rsidRPr="00FC537F" w:rsidRDefault="008E542B" w:rsidP="008E542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537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 выполнении организациями Аликовского района со среднесписочной численностью работников от 35 до 100 человек квоты для приема на работу инвалидов, в том числе на специальные рабочие места, </w:t>
      </w:r>
    </w:p>
    <w:p w:rsidR="008E542B" w:rsidRDefault="008E542B" w:rsidP="008E542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537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по состоянию на 01.01.202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Pr="00FC537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</w:t>
      </w:r>
    </w:p>
    <w:p w:rsidR="00262E42" w:rsidRDefault="00262E42" w:rsidP="008E542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0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3205"/>
        <w:gridCol w:w="981"/>
        <w:gridCol w:w="712"/>
        <w:gridCol w:w="980"/>
        <w:gridCol w:w="1291"/>
        <w:gridCol w:w="122"/>
        <w:gridCol w:w="1054"/>
        <w:gridCol w:w="22"/>
        <w:gridCol w:w="58"/>
        <w:gridCol w:w="80"/>
      </w:tblGrid>
      <w:tr w:rsidR="004208CD" w:rsidRPr="00262E42" w:rsidTr="00174868">
        <w:trPr>
          <w:gridAfter w:val="7"/>
          <w:wAfter w:w="3607" w:type="dxa"/>
          <w:trHeight w:val="65"/>
        </w:trPr>
        <w:tc>
          <w:tcPr>
            <w:tcW w:w="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08CD" w:rsidRPr="00262E42" w:rsidTr="00174868">
        <w:trPr>
          <w:gridAfter w:val="2"/>
          <w:wAfter w:w="138" w:type="dxa"/>
          <w:trHeight w:val="133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организации (предприятия), которым установлена квота для приема на работу инвалидов и организации (предприятия), в которых трудоустроены инвалиды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Установлена квота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 работающих инвалидов в </w:t>
            </w:r>
            <w:proofErr w:type="spellStart"/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орга-ии</w:t>
            </w:r>
            <w:proofErr w:type="spellEnd"/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(пре-</w:t>
            </w:r>
            <w:proofErr w:type="spellStart"/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  <w:proofErr w:type="spellEnd"/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 чел.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по квоте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08CD" w:rsidRPr="00174868" w:rsidRDefault="00174868" w:rsidP="00174868">
            <w:pPr>
              <w:spacing w:after="0" w:line="240" w:lineRule="auto"/>
              <w:ind w:right="-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Квота не выполнена</w:t>
            </w:r>
          </w:p>
        </w:tc>
      </w:tr>
      <w:tr w:rsidR="004208CD" w:rsidRPr="00262E42" w:rsidTr="00F15A47">
        <w:trPr>
          <w:trHeight w:val="15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08CD" w:rsidRPr="00262E42" w:rsidTr="00F15A47">
        <w:trPr>
          <w:gridAfter w:val="1"/>
          <w:wAfter w:w="80" w:type="dxa"/>
          <w:trHeight w:val="35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"Аликовская СОШ</w:t>
            </w:r>
          </w:p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И.Я.Яковлева</w:t>
            </w:r>
            <w:proofErr w:type="spellEnd"/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08CD" w:rsidRPr="00262E42" w:rsidTr="00F15A47">
        <w:trPr>
          <w:trHeight w:val="26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СХПК "Новый Путь"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08CD" w:rsidRPr="00262E42" w:rsidTr="00F15A47">
        <w:trPr>
          <w:trHeight w:val="26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 Васильев В.Г.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08CD" w:rsidRPr="00262E42" w:rsidTr="00F15A47">
        <w:trPr>
          <w:trHeight w:val="26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 "Аликовская ЦРБ" Минздрава Чувашии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08CD" w:rsidRPr="00262E42" w:rsidTr="00F15A47">
        <w:trPr>
          <w:trHeight w:val="26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 "Централизованная клубная система"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08CD" w:rsidRPr="00262E42" w:rsidTr="00F15A47">
        <w:trPr>
          <w:trHeight w:val="26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ООО "Аликовский </w:t>
            </w:r>
            <w:proofErr w:type="spellStart"/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Плодокомбинат</w:t>
            </w:r>
            <w:proofErr w:type="spellEnd"/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08CD" w:rsidRPr="00262E42" w:rsidTr="00F15A47">
        <w:trPr>
          <w:trHeight w:val="26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Аликовское</w:t>
            </w:r>
            <w:proofErr w:type="spellEnd"/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РАЙПО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08CD" w:rsidRPr="00262E42" w:rsidTr="00F15A47">
        <w:trPr>
          <w:trHeight w:val="26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ООО "Аликовский </w:t>
            </w:r>
            <w:proofErr w:type="spellStart"/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коопзаготпром</w:t>
            </w:r>
            <w:proofErr w:type="spellEnd"/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08CD" w:rsidRPr="00262E42" w:rsidTr="00F15A47">
        <w:trPr>
          <w:trHeight w:val="26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ООО" Общепит Аликовского РАЙПО"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08CD" w:rsidRPr="00262E42" w:rsidTr="00F15A47">
        <w:trPr>
          <w:trHeight w:val="53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ООО "Аликовский </w:t>
            </w:r>
            <w:proofErr w:type="spellStart"/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плодокомбинат</w:t>
            </w:r>
            <w:proofErr w:type="spellEnd"/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Аликовского </w:t>
            </w:r>
            <w:proofErr w:type="spellStart"/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Райпо</w:t>
            </w:r>
            <w:proofErr w:type="spellEnd"/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08CD" w:rsidRPr="00262E42" w:rsidTr="00F15A47">
        <w:trPr>
          <w:trHeight w:val="49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МБДОУ "Аликовский детский сад №1 "</w:t>
            </w:r>
            <w:proofErr w:type="spellStart"/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Салкус</w:t>
            </w:r>
            <w:proofErr w:type="spellEnd"/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08CD" w:rsidRPr="00262E42" w:rsidTr="00F15A47">
        <w:trPr>
          <w:trHeight w:val="26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4208CD" w:rsidRPr="00262E42" w:rsidTr="00174868">
        <w:trPr>
          <w:gridAfter w:val="4"/>
          <w:wAfter w:w="1214" w:type="dxa"/>
          <w:trHeight w:val="18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8CD" w:rsidRPr="00262E42" w:rsidRDefault="004208CD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E542B" w:rsidRPr="00FC537F" w:rsidRDefault="008E542B" w:rsidP="008E542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0"/>
          <w:lang w:eastAsia="ar-SA"/>
        </w:rPr>
      </w:pPr>
    </w:p>
    <w:p w:rsidR="00DA407E" w:rsidRPr="00FC537F" w:rsidRDefault="00DA407E" w:rsidP="00DA40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C537F">
        <w:rPr>
          <w:rFonts w:ascii="Times New Roman" w:hAnsi="Times New Roman"/>
          <w:sz w:val="24"/>
          <w:szCs w:val="24"/>
          <w:lang w:eastAsia="ru-RU"/>
        </w:rPr>
        <w:t>Все  организации</w:t>
      </w:r>
      <w:proofErr w:type="gramEnd"/>
      <w:r w:rsidRPr="00FC537F">
        <w:rPr>
          <w:rFonts w:ascii="Times New Roman" w:hAnsi="Times New Roman"/>
          <w:sz w:val="24"/>
          <w:szCs w:val="24"/>
          <w:lang w:eastAsia="ru-RU"/>
        </w:rPr>
        <w:t xml:space="preserve"> представляют ежемесячно информации  о выполнении квоты для приема на работу инвалидов. Информация об организациях направляется в прокуратуру Аликовского р-на в тех случаях, когда квота где-либо не выполняется, </w:t>
      </w:r>
      <w:proofErr w:type="gramStart"/>
      <w:r w:rsidRPr="00FC537F">
        <w:rPr>
          <w:rFonts w:ascii="Times New Roman" w:hAnsi="Times New Roman"/>
          <w:sz w:val="24"/>
          <w:szCs w:val="24"/>
          <w:lang w:eastAsia="ru-RU"/>
        </w:rPr>
        <w:t>либо</w:t>
      </w:r>
      <w:proofErr w:type="gramEnd"/>
      <w:r w:rsidRPr="00FC537F">
        <w:rPr>
          <w:rFonts w:ascii="Times New Roman" w:hAnsi="Times New Roman"/>
          <w:sz w:val="24"/>
          <w:szCs w:val="24"/>
          <w:lang w:eastAsia="ru-RU"/>
        </w:rPr>
        <w:t xml:space="preserve"> когда организация не представляет в указанный срок информацию в ЦЗН. </w:t>
      </w:r>
    </w:p>
    <w:p w:rsidR="00DA407E" w:rsidRPr="00FC537F" w:rsidRDefault="00DA407E" w:rsidP="00DA40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37F">
        <w:rPr>
          <w:rFonts w:ascii="Times New Roman" w:hAnsi="Times New Roman"/>
          <w:sz w:val="24"/>
          <w:szCs w:val="24"/>
          <w:lang w:eastAsia="ru-RU"/>
        </w:rPr>
        <w:t xml:space="preserve">         В течении 202</w:t>
      </w:r>
      <w:r w:rsidR="00A51A8A">
        <w:rPr>
          <w:rFonts w:ascii="Times New Roman" w:hAnsi="Times New Roman"/>
          <w:sz w:val="24"/>
          <w:szCs w:val="24"/>
          <w:lang w:eastAsia="ru-RU"/>
        </w:rPr>
        <w:t>2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года в поисках работы обратились </w:t>
      </w:r>
      <w:r w:rsidR="00035E89">
        <w:rPr>
          <w:rFonts w:ascii="Times New Roman" w:hAnsi="Times New Roman"/>
          <w:sz w:val="24"/>
          <w:szCs w:val="24"/>
          <w:lang w:eastAsia="ru-RU"/>
        </w:rPr>
        <w:t>9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инвалидов, трудоустроены</w:t>
      </w:r>
      <w:r w:rsidR="00A51A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5E89">
        <w:rPr>
          <w:rFonts w:ascii="Times New Roman" w:hAnsi="Times New Roman"/>
          <w:sz w:val="24"/>
          <w:szCs w:val="24"/>
          <w:lang w:eastAsia="ru-RU"/>
        </w:rPr>
        <w:t>7</w:t>
      </w:r>
      <w:r w:rsidRPr="00FC537F">
        <w:rPr>
          <w:rFonts w:ascii="Times New Roman" w:hAnsi="Times New Roman"/>
          <w:sz w:val="24"/>
          <w:szCs w:val="24"/>
          <w:lang w:eastAsia="ru-RU"/>
        </w:rPr>
        <w:t xml:space="preserve"> инвалидов, из которых </w:t>
      </w:r>
      <w:proofErr w:type="gramStart"/>
      <w:r w:rsidR="00035E89">
        <w:rPr>
          <w:rFonts w:ascii="Times New Roman" w:hAnsi="Times New Roman"/>
          <w:sz w:val="24"/>
          <w:szCs w:val="24"/>
          <w:lang w:eastAsia="ru-RU"/>
        </w:rPr>
        <w:t>6</w:t>
      </w:r>
      <w:r w:rsidRPr="00FC537F">
        <w:rPr>
          <w:rFonts w:ascii="Times New Roman" w:hAnsi="Times New Roman"/>
          <w:sz w:val="24"/>
          <w:szCs w:val="24"/>
          <w:lang w:eastAsia="ru-RU"/>
        </w:rPr>
        <w:t>  человек</w:t>
      </w:r>
      <w:proofErr w:type="gramEnd"/>
      <w:r w:rsidRPr="00FC537F">
        <w:rPr>
          <w:rFonts w:ascii="Times New Roman" w:hAnsi="Times New Roman"/>
          <w:sz w:val="24"/>
          <w:szCs w:val="24"/>
          <w:lang w:eastAsia="ru-RU"/>
        </w:rPr>
        <w:t xml:space="preserve"> трудоустроены  на временные работы по  договорам для испытывающих трудности в поиске работы. </w:t>
      </w:r>
    </w:p>
    <w:p w:rsidR="007A49B9" w:rsidRPr="00623939" w:rsidRDefault="007A49B9" w:rsidP="007A49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939">
        <w:rPr>
          <w:rFonts w:ascii="Times New Roman" w:hAnsi="Times New Roman"/>
          <w:sz w:val="24"/>
          <w:szCs w:val="24"/>
          <w:lang w:eastAsia="ru-RU"/>
        </w:rPr>
        <w:t>Важнейшим условием сохранения жизни и здоровья граждан в процессе трудовой деятельности является охрана труда. Система управления охраной труда в районе направлена на реализацию государственной политики в области охраны труда, осуществление правовых, социально-экономических, организационно-технических, санитарно-гигиенических, лечебно-профилактических и иных мероприятий по обеспечению безопасности, сохранению здоровья и работоспособности человека в процессе труда.</w:t>
      </w:r>
    </w:p>
    <w:p w:rsidR="007A49B9" w:rsidRPr="00623939" w:rsidRDefault="007A49B9" w:rsidP="007A49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939">
        <w:rPr>
          <w:rFonts w:ascii="Times New Roman" w:hAnsi="Times New Roman"/>
          <w:sz w:val="24"/>
          <w:szCs w:val="24"/>
          <w:lang w:eastAsia="ru-RU"/>
        </w:rPr>
        <w:t xml:space="preserve">Оценка сложившейся ситуации показывает, что решение проблем производственного травматизма, профессиональной заболеваемости, улучшения условий труда, </w:t>
      </w:r>
      <w:proofErr w:type="gramStart"/>
      <w:r w:rsidRPr="00623939">
        <w:rPr>
          <w:rFonts w:ascii="Times New Roman" w:hAnsi="Times New Roman"/>
          <w:sz w:val="24"/>
          <w:szCs w:val="24"/>
          <w:lang w:eastAsia="ru-RU"/>
        </w:rPr>
        <w:t>здоровья</w:t>
      </w:r>
      <w:proofErr w:type="gramEnd"/>
      <w:r w:rsidRPr="00623939">
        <w:rPr>
          <w:rFonts w:ascii="Times New Roman" w:hAnsi="Times New Roman"/>
          <w:sz w:val="24"/>
          <w:szCs w:val="24"/>
          <w:lang w:eastAsia="ru-RU"/>
        </w:rPr>
        <w:t xml:space="preserve"> работающих требует программно-целевого комплексного подхода как на районном уровне, так и на уровне предприятия. Работа в области улучшения условий и охраны труда в районе осуществляется в соответствии с Трудовым </w:t>
      </w:r>
      <w:hyperlink r:id="rId6" w:history="1">
        <w:r w:rsidRPr="009D1685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623939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Федерации.</w:t>
      </w:r>
    </w:p>
    <w:p w:rsidR="007A49B9" w:rsidRPr="00623939" w:rsidRDefault="007A49B9" w:rsidP="007A49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939">
        <w:rPr>
          <w:rFonts w:ascii="Times New Roman" w:hAnsi="Times New Roman"/>
          <w:sz w:val="24"/>
          <w:szCs w:val="24"/>
          <w:lang w:eastAsia="ru-RU"/>
        </w:rPr>
        <w:t xml:space="preserve">На территории района </w:t>
      </w:r>
      <w:r w:rsidR="008225DE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3939">
        <w:rPr>
          <w:rFonts w:ascii="Times New Roman" w:hAnsi="Times New Roman"/>
          <w:sz w:val="24"/>
          <w:szCs w:val="24"/>
          <w:lang w:eastAsia="ru-RU"/>
        </w:rPr>
        <w:t>организаций с численностью работников более 50 человек, которые имеют специалиста по охране труда, в остальных организациях вопросы по охране труда возложены на работников или на руководителей.</w:t>
      </w:r>
    </w:p>
    <w:p w:rsidR="007A49B9" w:rsidRPr="00623939" w:rsidRDefault="007A49B9" w:rsidP="007A49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939">
        <w:rPr>
          <w:rFonts w:ascii="Times New Roman" w:hAnsi="Times New Roman"/>
          <w:sz w:val="24"/>
          <w:szCs w:val="24"/>
          <w:lang w:eastAsia="ru-RU"/>
        </w:rPr>
        <w:lastRenderedPageBreak/>
        <w:t>В целях обеспечения социального партнерства, а также улучшения условий и охраны труда работников, защиты их прав и интересов серьезное внимание уделяется проведению коллективно-договорной работы. Ведется учет заключенн</w:t>
      </w:r>
      <w:r>
        <w:rPr>
          <w:rFonts w:ascii="Times New Roman" w:hAnsi="Times New Roman"/>
          <w:sz w:val="24"/>
          <w:szCs w:val="24"/>
          <w:lang w:eastAsia="ru-RU"/>
        </w:rPr>
        <w:t>ых коллективных договоров. В 202</w:t>
      </w:r>
      <w:r w:rsidR="00A51A8A">
        <w:rPr>
          <w:rFonts w:ascii="Times New Roman" w:hAnsi="Times New Roman"/>
          <w:sz w:val="24"/>
          <w:szCs w:val="24"/>
          <w:lang w:eastAsia="ru-RU"/>
        </w:rPr>
        <w:t>2</w:t>
      </w:r>
      <w:r w:rsidRPr="00623939">
        <w:rPr>
          <w:rFonts w:ascii="Times New Roman" w:hAnsi="Times New Roman"/>
          <w:sz w:val="24"/>
          <w:szCs w:val="24"/>
          <w:lang w:eastAsia="ru-RU"/>
        </w:rPr>
        <w:t xml:space="preserve"> году в органе по труду администрации Аликовского района уведомительную регистрацию прошли </w:t>
      </w:r>
      <w:r w:rsidR="00A51A8A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3939">
        <w:rPr>
          <w:rFonts w:ascii="Times New Roman" w:hAnsi="Times New Roman"/>
          <w:sz w:val="24"/>
          <w:szCs w:val="24"/>
          <w:lang w:eastAsia="ru-RU"/>
        </w:rPr>
        <w:t xml:space="preserve">коллективных договоров, в том числе </w:t>
      </w:r>
      <w:r w:rsidR="00A51A8A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3939">
        <w:rPr>
          <w:rFonts w:ascii="Times New Roman" w:hAnsi="Times New Roman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623939">
        <w:rPr>
          <w:rFonts w:ascii="Times New Roman" w:hAnsi="Times New Roman"/>
          <w:sz w:val="24"/>
          <w:szCs w:val="24"/>
          <w:lang w:eastAsia="ru-RU"/>
        </w:rPr>
        <w:t xml:space="preserve"> в сфере </w:t>
      </w:r>
      <w:proofErr w:type="gramStart"/>
      <w:r w:rsidRPr="00623939">
        <w:rPr>
          <w:rFonts w:ascii="Times New Roman" w:hAnsi="Times New Roman"/>
          <w:sz w:val="24"/>
          <w:szCs w:val="24"/>
          <w:lang w:eastAsia="ru-RU"/>
        </w:rPr>
        <w:t xml:space="preserve">образования, </w:t>
      </w:r>
      <w:r w:rsidR="00A51A8A">
        <w:rPr>
          <w:rFonts w:ascii="Times New Roman" w:hAnsi="Times New Roman"/>
          <w:sz w:val="24"/>
          <w:szCs w:val="24"/>
          <w:lang w:eastAsia="ru-RU"/>
        </w:rPr>
        <w:t xml:space="preserve"> 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– в сфере обслуживания,  1 – в сфере </w:t>
      </w:r>
      <w:r w:rsidR="00A51A8A">
        <w:rPr>
          <w:rFonts w:ascii="Times New Roman" w:hAnsi="Times New Roman"/>
          <w:sz w:val="24"/>
          <w:szCs w:val="24"/>
          <w:lang w:eastAsia="ru-RU"/>
        </w:rPr>
        <w:t>сельского хозяйства, 2 – в сфере  культуры.</w:t>
      </w:r>
      <w:r>
        <w:rPr>
          <w:rFonts w:ascii="Times New Roman" w:hAnsi="Times New Roman"/>
          <w:sz w:val="24"/>
          <w:szCs w:val="24"/>
          <w:lang w:eastAsia="ru-RU"/>
        </w:rPr>
        <w:t xml:space="preserve">  (в 202</w:t>
      </w:r>
      <w:r w:rsidR="00AB3E39">
        <w:rPr>
          <w:rFonts w:ascii="Times New Roman" w:hAnsi="Times New Roman"/>
          <w:sz w:val="24"/>
          <w:szCs w:val="24"/>
          <w:lang w:eastAsia="ru-RU"/>
        </w:rPr>
        <w:t>1</w:t>
      </w:r>
      <w:r w:rsidRPr="00623939">
        <w:rPr>
          <w:rFonts w:ascii="Times New Roman" w:hAnsi="Times New Roman"/>
          <w:sz w:val="24"/>
          <w:szCs w:val="24"/>
          <w:lang w:eastAsia="ru-RU"/>
        </w:rPr>
        <w:t xml:space="preserve"> году – </w:t>
      </w:r>
      <w:r w:rsidR="00A51A8A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3939">
        <w:rPr>
          <w:rFonts w:ascii="Times New Roman" w:hAnsi="Times New Roman"/>
          <w:sz w:val="24"/>
          <w:szCs w:val="24"/>
          <w:lang w:eastAsia="ru-RU"/>
        </w:rPr>
        <w:t>договоров).</w:t>
      </w:r>
    </w:p>
    <w:p w:rsidR="007A49B9" w:rsidRPr="00623939" w:rsidRDefault="007A49B9" w:rsidP="007A49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939">
        <w:rPr>
          <w:rFonts w:ascii="Times New Roman" w:hAnsi="Times New Roman"/>
          <w:sz w:val="24"/>
          <w:szCs w:val="24"/>
          <w:lang w:eastAsia="ru-RU"/>
        </w:rPr>
        <w:t xml:space="preserve">Ежегодно на базе БУ «Аликовская ЦРБ» Минздрава Чуваши проводятся </w:t>
      </w:r>
      <w:proofErr w:type="gramStart"/>
      <w:r w:rsidRPr="00623939">
        <w:rPr>
          <w:rFonts w:ascii="Times New Roman" w:hAnsi="Times New Roman"/>
          <w:sz w:val="24"/>
          <w:szCs w:val="24"/>
          <w:lang w:eastAsia="ru-RU"/>
        </w:rPr>
        <w:t>периодические  медицинские</w:t>
      </w:r>
      <w:proofErr w:type="gramEnd"/>
      <w:r w:rsidRPr="00623939">
        <w:rPr>
          <w:rFonts w:ascii="Times New Roman" w:hAnsi="Times New Roman"/>
          <w:sz w:val="24"/>
          <w:szCs w:val="24"/>
          <w:lang w:eastAsia="ru-RU"/>
        </w:rPr>
        <w:t xml:space="preserve"> осмотры, способствующие выявлению начальных признаков хронических профессиональных заболеваний.</w:t>
      </w:r>
      <w:r>
        <w:rPr>
          <w:rFonts w:ascii="Times New Roman" w:hAnsi="Times New Roman"/>
          <w:sz w:val="24"/>
          <w:szCs w:val="24"/>
          <w:lang w:eastAsia="ru-RU"/>
        </w:rPr>
        <w:t xml:space="preserve"> За 202</w:t>
      </w:r>
      <w:r w:rsidR="00AB3E39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охват медицинскими осмотрами работников от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общего  количества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подлежащих медосмотрам составляет 100% (100 % в 202</w:t>
      </w:r>
      <w:r w:rsidR="00AB3E39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году). </w:t>
      </w:r>
      <w:r w:rsidRPr="0062393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Работников с установленным первичным профессиональным заболеванием на территории Аликовского района не выявлено.</w:t>
      </w:r>
    </w:p>
    <w:p w:rsidR="007A49B9" w:rsidRPr="00623939" w:rsidRDefault="007A49B9" w:rsidP="007A49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939">
        <w:rPr>
          <w:rFonts w:ascii="Times New Roman" w:hAnsi="Times New Roman"/>
          <w:sz w:val="24"/>
          <w:szCs w:val="24"/>
          <w:lang w:eastAsia="ru-RU"/>
        </w:rPr>
        <w:t>Одним из важнейших направлений по профилактике производственного травматизма на производстве является обучение охране труда. Администрацией Аликовского района ежегодно</w:t>
      </w:r>
      <w:r>
        <w:rPr>
          <w:rFonts w:ascii="Times New Roman" w:hAnsi="Times New Roman"/>
          <w:sz w:val="24"/>
          <w:szCs w:val="24"/>
          <w:lang w:eastAsia="ru-RU"/>
        </w:rPr>
        <w:t xml:space="preserve"> не менее двух раз</w:t>
      </w:r>
      <w:r w:rsidRPr="00623939">
        <w:rPr>
          <w:rFonts w:ascii="Times New Roman" w:hAnsi="Times New Roman"/>
          <w:sz w:val="24"/>
          <w:szCs w:val="24"/>
          <w:lang w:eastAsia="ru-RU"/>
        </w:rPr>
        <w:t xml:space="preserve"> в год приглашается для проведения обучения по охране труда учебна</w:t>
      </w:r>
      <w:r>
        <w:rPr>
          <w:rFonts w:ascii="Times New Roman" w:hAnsi="Times New Roman"/>
          <w:sz w:val="24"/>
          <w:szCs w:val="24"/>
          <w:lang w:eastAsia="ru-RU"/>
        </w:rPr>
        <w:t>я организация.  В 202</w:t>
      </w:r>
      <w:r w:rsidR="00A51A8A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 по охране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труда </w:t>
      </w:r>
      <w:r w:rsidRPr="00623939">
        <w:rPr>
          <w:rFonts w:ascii="Times New Roman" w:hAnsi="Times New Roman"/>
          <w:sz w:val="24"/>
          <w:szCs w:val="24"/>
          <w:lang w:eastAsia="ru-RU"/>
        </w:rPr>
        <w:t xml:space="preserve"> обучен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6239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1A8A">
        <w:rPr>
          <w:rFonts w:ascii="Times New Roman" w:hAnsi="Times New Roman"/>
          <w:sz w:val="24"/>
          <w:szCs w:val="24"/>
          <w:lang w:eastAsia="ru-RU"/>
        </w:rPr>
        <w:t>51</w:t>
      </w:r>
      <w:r>
        <w:rPr>
          <w:rFonts w:ascii="Times New Roman" w:hAnsi="Times New Roman"/>
          <w:sz w:val="24"/>
          <w:szCs w:val="24"/>
          <w:lang w:eastAsia="ru-RU"/>
        </w:rPr>
        <w:t xml:space="preserve"> человек. Пострадавших от несчастных случаев на производстве не было.</w:t>
      </w:r>
      <w:r w:rsidRPr="0062393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A49B9" w:rsidRPr="00623939" w:rsidRDefault="007A49B9" w:rsidP="007A49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939">
        <w:rPr>
          <w:rFonts w:ascii="Times New Roman" w:hAnsi="Times New Roman"/>
          <w:sz w:val="24"/>
          <w:szCs w:val="24"/>
          <w:lang w:eastAsia="ru-RU"/>
        </w:rPr>
        <w:t>В соответствии с ТК каждый работодатель на всех рабочих местах обязан обеспечить безопасные условия и охрану труда, в том числе обеспечить проведение специальной оценки условий труда в соответствии с действующим законодательством. По состоянию на 1 января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A51A8A">
        <w:rPr>
          <w:rFonts w:ascii="Times New Roman" w:hAnsi="Times New Roman"/>
          <w:sz w:val="24"/>
          <w:szCs w:val="24"/>
          <w:lang w:eastAsia="ru-RU"/>
        </w:rPr>
        <w:t>3</w:t>
      </w:r>
      <w:r w:rsidRPr="00623939">
        <w:rPr>
          <w:rFonts w:ascii="Times New Roman" w:hAnsi="Times New Roman"/>
          <w:sz w:val="24"/>
          <w:szCs w:val="24"/>
          <w:lang w:eastAsia="ru-RU"/>
        </w:rPr>
        <w:t xml:space="preserve"> года специальная оценка условий труда проведена в </w:t>
      </w:r>
      <w:r>
        <w:rPr>
          <w:rFonts w:ascii="Times New Roman" w:hAnsi="Times New Roman"/>
          <w:sz w:val="24"/>
          <w:szCs w:val="24"/>
          <w:lang w:eastAsia="ru-RU"/>
        </w:rPr>
        <w:t>33 организаци</w:t>
      </w:r>
      <w:r w:rsidR="00BC3F96">
        <w:rPr>
          <w:rFonts w:ascii="Times New Roman" w:hAnsi="Times New Roman"/>
          <w:sz w:val="24"/>
          <w:szCs w:val="24"/>
          <w:lang w:eastAsia="ru-RU"/>
        </w:rPr>
        <w:t>ях</w:t>
      </w:r>
      <w:r w:rsidRPr="00623939">
        <w:rPr>
          <w:rFonts w:ascii="Times New Roman" w:hAnsi="Times New Roman"/>
          <w:sz w:val="24"/>
          <w:szCs w:val="24"/>
          <w:lang w:eastAsia="ru-RU"/>
        </w:rPr>
        <w:t xml:space="preserve">, где аттестовано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A51A8A">
        <w:rPr>
          <w:rFonts w:ascii="Times New Roman" w:hAnsi="Times New Roman"/>
          <w:sz w:val="24"/>
          <w:szCs w:val="24"/>
          <w:lang w:eastAsia="ru-RU"/>
        </w:rPr>
        <w:t>337</w:t>
      </w:r>
      <w:r w:rsidRPr="00623939">
        <w:rPr>
          <w:rFonts w:ascii="Times New Roman" w:hAnsi="Times New Roman"/>
          <w:sz w:val="24"/>
          <w:szCs w:val="24"/>
          <w:lang w:eastAsia="ru-RU"/>
        </w:rPr>
        <w:t xml:space="preserve"> рабочих мест, в том числе </w:t>
      </w:r>
      <w:r>
        <w:rPr>
          <w:rFonts w:ascii="Times New Roman" w:hAnsi="Times New Roman"/>
          <w:sz w:val="24"/>
          <w:szCs w:val="24"/>
          <w:lang w:eastAsia="ru-RU"/>
        </w:rPr>
        <w:t>214</w:t>
      </w:r>
      <w:r w:rsidRPr="00623939">
        <w:rPr>
          <w:rFonts w:ascii="Times New Roman" w:hAnsi="Times New Roman"/>
          <w:sz w:val="24"/>
          <w:szCs w:val="24"/>
          <w:lang w:eastAsia="ru-RU"/>
        </w:rPr>
        <w:t xml:space="preserve"> рабочих мест с вред</w:t>
      </w:r>
      <w:r>
        <w:rPr>
          <w:rFonts w:ascii="Times New Roman" w:hAnsi="Times New Roman"/>
          <w:sz w:val="24"/>
          <w:szCs w:val="24"/>
          <w:lang w:eastAsia="ru-RU"/>
        </w:rPr>
        <w:t>ными и опасными условиями труда 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  202</w:t>
      </w:r>
      <w:r w:rsidR="00AB3E39"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спецоценку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условий труда провели   </w:t>
      </w:r>
      <w:r w:rsidR="00A51A8A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организации на 103 рабочих местах, которые отнесены ко 2 классу условий труд</w:t>
      </w:r>
      <w:r w:rsidR="00BC3F96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).</w:t>
      </w:r>
      <w:r w:rsidRPr="00623939">
        <w:rPr>
          <w:rFonts w:ascii="Times New Roman" w:hAnsi="Times New Roman"/>
          <w:sz w:val="24"/>
          <w:szCs w:val="24"/>
          <w:lang w:eastAsia="ru-RU"/>
        </w:rPr>
        <w:t xml:space="preserve"> Всем работникам, которым по результатам проведенной </w:t>
      </w:r>
      <w:proofErr w:type="gramStart"/>
      <w:r w:rsidRPr="00623939">
        <w:rPr>
          <w:rFonts w:ascii="Times New Roman" w:hAnsi="Times New Roman"/>
          <w:sz w:val="24"/>
          <w:szCs w:val="24"/>
          <w:lang w:eastAsia="ru-RU"/>
        </w:rPr>
        <w:t>специальной  оценки</w:t>
      </w:r>
      <w:proofErr w:type="gramEnd"/>
      <w:r w:rsidRPr="00623939">
        <w:rPr>
          <w:rFonts w:ascii="Times New Roman" w:hAnsi="Times New Roman"/>
          <w:sz w:val="24"/>
          <w:szCs w:val="24"/>
          <w:lang w:eastAsia="ru-RU"/>
        </w:rPr>
        <w:t xml:space="preserve"> условий труда, присвоен класс вредности, выплачиваются надбавки за вредность, представляется дополнительный отпуск или же предоставляется денежная компенсация взамен молока.</w:t>
      </w:r>
    </w:p>
    <w:p w:rsidR="007A49B9" w:rsidRPr="00623939" w:rsidRDefault="007A49B9" w:rsidP="007A49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939">
        <w:rPr>
          <w:rFonts w:ascii="Times New Roman" w:hAnsi="Times New Roman"/>
          <w:sz w:val="24"/>
          <w:szCs w:val="24"/>
          <w:lang w:eastAsia="ru-RU"/>
        </w:rPr>
        <w:t>Ежегодно на территории муниципального района проводится месячник по улучшению условий и охраны труда, семинары-совещания с руководителями и специалистами по вопросам охраны труда.</w:t>
      </w:r>
    </w:p>
    <w:p w:rsidR="007A49B9" w:rsidRPr="00623939" w:rsidRDefault="007A49B9" w:rsidP="007A49B9">
      <w:pPr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B8440D" w:rsidRPr="00106BBB" w:rsidRDefault="00B8440D" w:rsidP="00106BBB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sectPr w:rsidR="00B8440D" w:rsidRPr="00106BBB" w:rsidSect="00F15A4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F591F"/>
    <w:multiLevelType w:val="multilevel"/>
    <w:tmpl w:val="8CCE4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87F13"/>
    <w:multiLevelType w:val="multilevel"/>
    <w:tmpl w:val="9C72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063B7"/>
    <w:multiLevelType w:val="multilevel"/>
    <w:tmpl w:val="3C062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B3FB8"/>
    <w:multiLevelType w:val="multilevel"/>
    <w:tmpl w:val="751AD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E0BE7"/>
    <w:multiLevelType w:val="multilevel"/>
    <w:tmpl w:val="90B0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E1117E"/>
    <w:multiLevelType w:val="multilevel"/>
    <w:tmpl w:val="7C18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24E78"/>
    <w:multiLevelType w:val="multilevel"/>
    <w:tmpl w:val="47722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9395D"/>
    <w:multiLevelType w:val="multilevel"/>
    <w:tmpl w:val="B268E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513ACC"/>
    <w:multiLevelType w:val="multilevel"/>
    <w:tmpl w:val="DF2C3E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F0141D"/>
    <w:multiLevelType w:val="multilevel"/>
    <w:tmpl w:val="95267D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4F4E77"/>
    <w:multiLevelType w:val="multilevel"/>
    <w:tmpl w:val="060A0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0C331B"/>
    <w:multiLevelType w:val="multilevel"/>
    <w:tmpl w:val="AAC6F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F96524"/>
    <w:multiLevelType w:val="multilevel"/>
    <w:tmpl w:val="9F90E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3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E1"/>
    <w:rsid w:val="00035E89"/>
    <w:rsid w:val="00040FA2"/>
    <w:rsid w:val="00046CC8"/>
    <w:rsid w:val="00065415"/>
    <w:rsid w:val="00070679"/>
    <w:rsid w:val="00081991"/>
    <w:rsid w:val="00082178"/>
    <w:rsid w:val="000A2700"/>
    <w:rsid w:val="000B5A07"/>
    <w:rsid w:val="000E0699"/>
    <w:rsid w:val="00106BBB"/>
    <w:rsid w:val="001336AF"/>
    <w:rsid w:val="001338D4"/>
    <w:rsid w:val="0014208A"/>
    <w:rsid w:val="0015281A"/>
    <w:rsid w:val="00157516"/>
    <w:rsid w:val="00165966"/>
    <w:rsid w:val="001726C4"/>
    <w:rsid w:val="00174868"/>
    <w:rsid w:val="001C5EB4"/>
    <w:rsid w:val="001F4F9E"/>
    <w:rsid w:val="001F5622"/>
    <w:rsid w:val="00262E42"/>
    <w:rsid w:val="00280513"/>
    <w:rsid w:val="002D41E1"/>
    <w:rsid w:val="002F3DBD"/>
    <w:rsid w:val="0032080E"/>
    <w:rsid w:val="0033052C"/>
    <w:rsid w:val="00343F4A"/>
    <w:rsid w:val="00367AE0"/>
    <w:rsid w:val="003763CB"/>
    <w:rsid w:val="003836F8"/>
    <w:rsid w:val="003F62A4"/>
    <w:rsid w:val="004053D5"/>
    <w:rsid w:val="004208CD"/>
    <w:rsid w:val="00421336"/>
    <w:rsid w:val="004232CC"/>
    <w:rsid w:val="00465CED"/>
    <w:rsid w:val="00477E2A"/>
    <w:rsid w:val="00484463"/>
    <w:rsid w:val="00522F21"/>
    <w:rsid w:val="00526C06"/>
    <w:rsid w:val="005551B2"/>
    <w:rsid w:val="00565A3C"/>
    <w:rsid w:val="005805EA"/>
    <w:rsid w:val="005B3015"/>
    <w:rsid w:val="005C1BE3"/>
    <w:rsid w:val="005D118D"/>
    <w:rsid w:val="00623939"/>
    <w:rsid w:val="00651FC9"/>
    <w:rsid w:val="00682E33"/>
    <w:rsid w:val="00705AB9"/>
    <w:rsid w:val="00722DB0"/>
    <w:rsid w:val="00737A64"/>
    <w:rsid w:val="007A49B9"/>
    <w:rsid w:val="008225DE"/>
    <w:rsid w:val="00846967"/>
    <w:rsid w:val="00860C12"/>
    <w:rsid w:val="008B1BDB"/>
    <w:rsid w:val="008D1E37"/>
    <w:rsid w:val="008E542B"/>
    <w:rsid w:val="008E6FED"/>
    <w:rsid w:val="009729BC"/>
    <w:rsid w:val="00977A0C"/>
    <w:rsid w:val="009A22EB"/>
    <w:rsid w:val="009D1685"/>
    <w:rsid w:val="00A13B34"/>
    <w:rsid w:val="00A51A8A"/>
    <w:rsid w:val="00A63159"/>
    <w:rsid w:val="00AB3E39"/>
    <w:rsid w:val="00AC37C0"/>
    <w:rsid w:val="00AD363B"/>
    <w:rsid w:val="00B26F72"/>
    <w:rsid w:val="00B46229"/>
    <w:rsid w:val="00B77B26"/>
    <w:rsid w:val="00B8440D"/>
    <w:rsid w:val="00B91F45"/>
    <w:rsid w:val="00B943BE"/>
    <w:rsid w:val="00BC3F96"/>
    <w:rsid w:val="00BE00E3"/>
    <w:rsid w:val="00C11FE7"/>
    <w:rsid w:val="00C954C0"/>
    <w:rsid w:val="00CA1619"/>
    <w:rsid w:val="00D06342"/>
    <w:rsid w:val="00D33BA6"/>
    <w:rsid w:val="00D361C1"/>
    <w:rsid w:val="00D47A07"/>
    <w:rsid w:val="00D57BA6"/>
    <w:rsid w:val="00DA407E"/>
    <w:rsid w:val="00DB7DE2"/>
    <w:rsid w:val="00E07398"/>
    <w:rsid w:val="00E5218F"/>
    <w:rsid w:val="00ED6674"/>
    <w:rsid w:val="00F15A47"/>
    <w:rsid w:val="00F21EA7"/>
    <w:rsid w:val="00FB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C88E7-2BDB-418F-B9B2-778F58A7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B8440D"/>
    <w:rPr>
      <w:color w:val="0000FF"/>
      <w:u w:val="single"/>
    </w:rPr>
  </w:style>
  <w:style w:type="character" w:styleId="a5">
    <w:name w:val="Emphasis"/>
    <w:uiPriority w:val="20"/>
    <w:qFormat/>
    <w:rsid w:val="00B8440D"/>
    <w:rPr>
      <w:i/>
      <w:iCs/>
    </w:rPr>
  </w:style>
  <w:style w:type="paragraph" w:customStyle="1" w:styleId="a6">
    <w:name w:val="Знак Знак"/>
    <w:basedOn w:val="a"/>
    <w:rsid w:val="0032080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526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6C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2528A7A2B962FD645E0184232015C45C84DE2587E5914F5E4AAF4A976C6C3A9C2D0C94E6986662PCZ8M" TargetMode="External"/><Relationship Id="rId5" Type="http://schemas.openxmlformats.org/officeDocument/2006/relationships/hyperlink" Target="consultantplus://offline/ref=19D77A143C091C8C6942DBCA9FE237D194F4B77F94F75EE87B9F5D96BA76D97AC0D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11144</CharactersWithSpaces>
  <SharedDoc>false</SharedDoc>
  <HLinks>
    <vt:vector size="12" baseType="variant">
      <vt:variant>
        <vt:i4>2097207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consultantplus://offline/ref=CA2528A7A2B962FD645E0184232015C45C84DE2587E5914F5E4AAF4A976C6C3A9C2D0C94E6986662PCZ8M</vt:lpwstr>
      </vt:variant>
      <vt:variant>
        <vt:lpwstr/>
      </vt:variant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consultantplus://offline/ref=19D77A143C091C8C6942DBCA9FE237D194F4B77F94F75EE87B9F5D96BA76D97AC0DAF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Петр Петрович</cp:lastModifiedBy>
  <cp:revision>6</cp:revision>
  <cp:lastPrinted>2023-03-02T08:27:00Z</cp:lastPrinted>
  <dcterms:created xsi:type="dcterms:W3CDTF">2023-03-02T08:17:00Z</dcterms:created>
  <dcterms:modified xsi:type="dcterms:W3CDTF">2023-03-02T08:37:00Z</dcterms:modified>
</cp:coreProperties>
</file>