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4536"/>
        <w:jc w:val="center"/>
        <w:widowControl/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Приложение № 3</w:t>
      </w:r>
      <w:r>
        <w:rPr>
          <w:sz w:val="26"/>
          <w:szCs w:val="26"/>
        </w:rPr>
      </w:r>
    </w:p>
    <w:p>
      <w:pPr>
        <w:pStyle w:val="621"/>
        <w:ind w:left="4536"/>
        <w:jc w:val="center"/>
        <w:widowControl/>
        <w:rPr>
          <w:sz w:val="26"/>
          <w:szCs w:val="26"/>
        </w:rPr>
      </w:pPr>
      <w:r>
        <w:rPr>
          <w:sz w:val="26"/>
          <w:szCs w:val="26"/>
        </w:rPr>
        <w:t xml:space="preserve">к Порядку предоставления </w:t>
      </w:r>
      <w:r>
        <w:rPr>
          <w:sz w:val="26"/>
          <w:szCs w:val="26"/>
        </w:rPr>
        <w:t xml:space="preserve">грантовой</w:t>
      </w:r>
      <w:r>
        <w:rPr>
          <w:sz w:val="26"/>
          <w:szCs w:val="26"/>
        </w:rPr>
      </w:r>
    </w:p>
    <w:p>
      <w:pPr>
        <w:pStyle w:val="621"/>
        <w:ind w:left="4536"/>
        <w:jc w:val="center"/>
        <w:widowControl/>
        <w:rPr>
          <w:sz w:val="26"/>
          <w:szCs w:val="26"/>
        </w:rPr>
      </w:pPr>
      <w:r>
        <w:rPr>
          <w:sz w:val="26"/>
          <w:szCs w:val="26"/>
        </w:rPr>
        <w:t xml:space="preserve">поддержки </w:t>
      </w:r>
      <w:r>
        <w:rPr>
          <w:sz w:val="26"/>
          <w:szCs w:val="26"/>
        </w:rPr>
        <w:t xml:space="preserve">сельскохозяйственным</w:t>
      </w:r>
      <w:r>
        <w:rPr>
          <w:sz w:val="26"/>
          <w:szCs w:val="26"/>
        </w:rPr>
      </w:r>
    </w:p>
    <w:p>
      <w:pPr>
        <w:pStyle w:val="621"/>
        <w:ind w:left="4536"/>
        <w:jc w:val="center"/>
        <w:widowControl/>
        <w:rPr>
          <w:sz w:val="26"/>
          <w:szCs w:val="26"/>
        </w:rPr>
      </w:pPr>
      <w:r>
        <w:rPr>
          <w:sz w:val="26"/>
          <w:szCs w:val="26"/>
        </w:rPr>
        <w:t xml:space="preserve">потребительским кооперативам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</w:r>
    </w:p>
    <w:p>
      <w:pPr>
        <w:pStyle w:val="621"/>
        <w:ind w:left="4536"/>
        <w:jc w:val="center"/>
        <w:widowControl/>
        <w:rPr>
          <w:sz w:val="26"/>
          <w:szCs w:val="26"/>
        </w:rPr>
      </w:pPr>
      <w:r>
        <w:rPr>
          <w:sz w:val="26"/>
          <w:szCs w:val="26"/>
        </w:rPr>
        <w:t xml:space="preserve">развитие материально-технической базы</w:t>
      </w:r>
      <w:r>
        <w:rPr>
          <w:sz w:val="26"/>
          <w:szCs w:val="26"/>
        </w:rPr>
      </w:r>
    </w:p>
    <w:p>
      <w:pPr>
        <w:pStyle w:val="621"/>
        <w:jc w:val="both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1"/>
        <w:jc w:val="both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3"/>
        <w:jc w:val="center"/>
        <w:widowControl/>
        <w:rPr>
          <w:rFonts w:ascii="Times New Roman" w:hAnsi="Times New Roman" w:cs="Times New Roman"/>
          <w:sz w:val="26"/>
          <w:szCs w:val="26"/>
        </w:rPr>
      </w:pPr>
      <w:r/>
      <w:bookmarkStart w:id="0" w:name="Par7898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 Е Р Е Ч Е Н Ь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прилагаемых</w:t>
      </w:r>
      <w:r>
        <w:rPr>
          <w:rFonts w:ascii="Times New Roman" w:hAnsi="Times New Roman" w:cs="Times New Roman"/>
          <w:sz w:val="26"/>
          <w:szCs w:val="26"/>
        </w:rPr>
        <w:t xml:space="preserve"> к заявке на участие в отборе для предоставления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</w:t>
      </w:r>
      <w:r>
        <w:rPr>
          <w:rFonts w:ascii="Times New Roman" w:hAnsi="Times New Roman" w:cs="Times New Roman"/>
          <w:sz w:val="26"/>
          <w:szCs w:val="26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венной поддержки в форме гранта на развитие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материально-технической базы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сельскохозяйственных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потребительских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62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перативов </w:t>
      </w:r>
      <w:r>
        <w:rPr>
          <w:rFonts w:ascii="Times New Roman" w:hAnsi="Times New Roman" w:cs="Times New Roman"/>
          <w:b/>
          <w:sz w:val="26"/>
          <w:szCs w:val="26"/>
        </w:rPr>
        <w:t xml:space="preserve"> документов, представляемых сельскохозяйственным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2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потребительским кооперат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вом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1"/>
        <w:jc w:val="both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1"/>
        <w:jc w:val="both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1. Документы, обязательные к представлению: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список членов сельскохозяйственного потребительского кооператива, являющихся сельскохозяйственными товаропроизводителями (кроме ассоциир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ванного членства), с приложением копии протокола общего собрания о прин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тии решения о приеме в члены сельскохозяйственного потребительского кооп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ратива;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проект сельскохозяйственного потребительского кооператива по развитию материально-технической базы, предусматривающий увеличение объема реал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зованной продукции в течение не менее пяти лет после получения гранта, со сроком окупаемости не более восьми лет, план расходов на развитие материал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но-технической базы;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копии отчетных данных по формам, утвержденным Федеральной службой государственной статистики, за последний отчетный период на день представл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сельскохозяйственным потребительским кооперативом заявки: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для сельскохозяйственных потребительских перерабатывающих коопер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тивов – форма № 1-кооператив «Сведения о деятельности перерабатывающего сельскох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зяйственного потребительского кооператива»;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для сельскохозяйственных снабженческо-сбытовых сельскохозяйственных потребительских кооперативов – форма № 2-кооператив «Сведения о деятельн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сти снабженческо-сбытовых сельскохозяйственных потребительских кооперат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вов»;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для потребительских обществ – форма № П-1 «Сведения о производстве и 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грузке товаров и услуг»;</w:t>
      </w:r>
      <w:r>
        <w:rPr>
          <w:sz w:val="26"/>
          <w:szCs w:val="26"/>
        </w:rPr>
      </w:r>
    </w:p>
    <w:p>
      <w:pPr>
        <w:pStyle w:val="623"/>
        <w:ind w:firstLine="709"/>
        <w:jc w:val="both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случае наличия неисполненных обязательств по уплате налогов, сборов, страховых взносов, пеней, штрафов, процентов, подлежащих уплате в соотве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ствии с законодательством Российской Федерации о налогах и сборах, –  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тельщика страховых взносов или налогового агента по состоянию на дату не ранее чем за 10 рабочих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дней до дня начала приема заявок и документов Министерством сельского хозяйства Чувашской Республики (далее – Минсел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хоз Ч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вашии) и не позднее дня представления заявок и документов;</w:t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обязательства сельскохозяйственного потребительского кооператива о представлении согласия лиц, получающих средства на основании договоров (соглашений),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ключенных с получателем гранта на развитие материально-технической базы сельскохозяйственного потребительского кооператива (далее – грант) (за исключением государственных (муниципальных) унитарных предприятий, хозя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ких товариществ и обществ в их уставных (складочных) капиталах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на осуществл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 в отношении их Минсельхозом Чувашии проверки соблюдения порядка и условий предоставления гранта, в том числе в части достижения результата предоставл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гранта, а также проверки органами государственного финансового контроля в соответствии со статьями 268</w:t>
      </w:r>
      <w:r>
        <w:rPr>
          <w:sz w:val="26"/>
          <w:szCs w:val="26"/>
          <w:vertAlign w:val="superscript"/>
        </w:rPr>
        <w:t xml:space="preserve">1</w:t>
      </w:r>
      <w:r>
        <w:rPr>
          <w:sz w:val="26"/>
          <w:szCs w:val="26"/>
        </w:rPr>
        <w:t xml:space="preserve"> и 269</w:t>
      </w:r>
      <w:r>
        <w:rPr>
          <w:sz w:val="26"/>
          <w:szCs w:val="26"/>
          <w:vertAlign w:val="superscript"/>
        </w:rPr>
        <w:t xml:space="preserve">2</w:t>
      </w:r>
      <w:r>
        <w:rPr>
          <w:sz w:val="26"/>
          <w:szCs w:val="26"/>
        </w:rPr>
        <w:t xml:space="preserve"> Бюджетного кодекса Росси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ской Федерации и на включение таких положений в соглашение о предоставл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 гранта.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2. Документы, которые могут быть представлены по инициативе сельск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хозяйственного потребительского кооператива: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/>
      <w:bookmarkStart w:id="1" w:name="Par7918"/>
      <w:r/>
      <w:bookmarkEnd w:id="1"/>
      <w:r>
        <w:rPr>
          <w:sz w:val="26"/>
          <w:szCs w:val="26"/>
        </w:rPr>
        <w:t xml:space="preserve">выписка из Единого государственного реестра юридических лиц, выда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ная регистрирующим органом на первое число месяца, в котором Минсельхозом Чув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шии объявлен отбор;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выписки из Единого государственного реестра недвижимости об осно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ных характеристиках и зарегистрированных правах на объекты недвижимости – земельные участки, на которых осуществляется или планируется к осуществл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нию сельскохозяйственное производство, по состоянию на первое число месяца, в 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тором Минсельхозом Чувашии объявлен отбор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/>
      <w:bookmarkStart w:id="2" w:name="Par7921"/>
      <w:r/>
      <w:bookmarkEnd w:id="2"/>
      <w:r>
        <w:rPr>
          <w:sz w:val="26"/>
          <w:szCs w:val="26"/>
        </w:rPr>
        <w:t xml:space="preserve">справка о наличии на дату формирования справки положительного, отр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стоянию на дату не ранее чем за 10 рабочих дней до дня начала приема заявок и 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кументов;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выписки из Единого государственного реестра недвижимости об осно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ных характеристиках и зарегистрированных правах на объекты недвижимости (либо 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пия свидетельства о государственной регистрации права собственности) сельскох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зяйственного пот</w:t>
      </w:r>
      <w:r>
        <w:rPr>
          <w:sz w:val="26"/>
          <w:szCs w:val="26"/>
        </w:rPr>
        <w:t xml:space="preserve">ребительского кооператива на земельный участок и (или) объект недвижимого имущества или копия договора аренды недвижимого имущества на срок не менее пяти лет со дня подачи заявки, разрешение на строительство – если средства гранта или его часть планируется</w:t>
      </w:r>
      <w:r>
        <w:rPr>
          <w:sz w:val="26"/>
          <w:szCs w:val="26"/>
        </w:rPr>
        <w:t xml:space="preserve"> направить на строительство, реконструкцию или модернизацию производственных объектов сельскохозяйственного потр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бительского кооператива;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/>
      <w:bookmarkStart w:id="3" w:name="Par7924"/>
      <w:r/>
      <w:bookmarkEnd w:id="3"/>
      <w:r>
        <w:rPr>
          <w:sz w:val="26"/>
          <w:szCs w:val="26"/>
        </w:rPr>
        <w:t xml:space="preserve">справка, выданная территориальным подразделением управления надзо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ной деятельности и профилактической работы Главного управления Министе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ства Российской Федерации по делам гражданской обороны, чрезвычайным с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туациям и ликвидации последствий стихийных бедствий по Чувашской Респу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лике – Чувашии, подтверждающая отсутствие в году, предшествующем году 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лучения гранта, случаев привлечения к ответственности сельскохозяйстве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ного потребительского кооператива за несоблюдение запрета на выжигание сухой травянистой растительности, стерни, пожнивных остатков (за исключением рисовой соломы</w:t>
      </w:r>
      <w:r>
        <w:rPr>
          <w:sz w:val="26"/>
          <w:szCs w:val="26"/>
        </w:rPr>
        <w:t xml:space="preserve">) на землях сельскохозя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ственного назначения;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копия бухгалтерской (финансовой) отчетности за предшествующий календарный год с отметкой налогового орган</w:t>
      </w:r>
      <w:r>
        <w:rPr>
          <w:sz w:val="26"/>
          <w:szCs w:val="26"/>
        </w:rPr>
        <w:t xml:space="preserve">а о ее</w:t>
      </w:r>
      <w:r>
        <w:rPr>
          <w:sz w:val="26"/>
          <w:szCs w:val="26"/>
        </w:rPr>
        <w:t xml:space="preserve"> принятии либо в случае </w:t>
      </w:r>
      <w:r>
        <w:rPr>
          <w:sz w:val="26"/>
          <w:szCs w:val="26"/>
        </w:rPr>
        <w:t xml:space="preserve">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ставления отчетности в электронном виде с приложением квитанции о приеме (для сельскохозяйственных потребительских кооперативов, применяющих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щий режим налогоо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ложения);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  <w:highlight w:val="none"/>
        </w:rPr>
      </w:pPr>
      <w:r/>
      <w:bookmarkStart w:id="4" w:name="Par7927"/>
      <w:r/>
      <w:bookmarkEnd w:id="4"/>
      <w:r>
        <w:rPr>
          <w:sz w:val="26"/>
          <w:szCs w:val="26"/>
        </w:rPr>
        <w:t xml:space="preserve">копия налоговой отчетности за предшествующий календарный год с отметкой налогового орган</w:t>
      </w:r>
      <w:r>
        <w:rPr>
          <w:sz w:val="26"/>
          <w:szCs w:val="26"/>
        </w:rPr>
        <w:t xml:space="preserve">а о ее</w:t>
      </w:r>
      <w:r>
        <w:rPr>
          <w:sz w:val="26"/>
          <w:szCs w:val="26"/>
        </w:rPr>
        <w:t xml:space="preserve"> принятии либо в случае представления отчетн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сти в электронном виде с приложением квитанции о приеме (для сельскохозяйственных 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требительских кооперативов, применяющих специальные налоговые режимы);</w:t>
      </w:r>
      <w:r>
        <w:rPr>
          <w:sz w:val="26"/>
          <w:szCs w:val="26"/>
          <w:highlight w:val="none"/>
        </w:rPr>
      </w:r>
    </w:p>
    <w:p>
      <w:pPr>
        <w:pStyle w:val="621"/>
        <w:ind w:firstLine="709"/>
        <w:jc w:val="both"/>
        <w:widowControl/>
        <w:rPr>
          <w:sz w:val="26"/>
          <w:szCs w:val="26"/>
          <w:highlight w:val="whit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white"/>
        </w:rPr>
        <w:t xml:space="preserve">справка Федерального государственного бюджетного учреждения </w:t>
      </w:r>
      <w:r>
        <w:rPr>
          <w:sz w:val="26"/>
          <w:szCs w:val="26"/>
          <w:highlight w:val="white"/>
        </w:rPr>
        <w:t xml:space="preserve">«Управление мелиорации земель и сельскохозяйственного водоснабжения по Чувашской Республике» об отсутствии </w:t>
      </w:r>
      <w:r>
        <w:rPr>
          <w:sz w:val="26"/>
          <w:szCs w:val="26"/>
          <w:highlight w:val="white"/>
        </w:rPr>
        <w:t xml:space="preserve">у сельскохозяйственного потребительского кооператива просроченной задолженности перед указанным учреждением за услуги по подаче (отводу) воды в размере более 50 тыс. рублей по состоя</w:t>
      </w:r>
      <w:r>
        <w:rPr>
          <w:sz w:val="26"/>
          <w:szCs w:val="26"/>
          <w:highlight w:val="white"/>
        </w:rPr>
        <w:t xml:space="preserve">нию на первое число месяца, в котором Минсельхозом Чувашии объявлен отбор;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при строительстве, реконструкции и модернизации производств</w:t>
      </w:r>
      <w:r>
        <w:rPr>
          <w:sz w:val="26"/>
          <w:szCs w:val="26"/>
        </w:rPr>
        <w:t xml:space="preserve">енных объе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тов ее переработки: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копия проектно-сметной документации;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копия положительного заключения государственной экспертизы проек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ной документации и результатов инженерных изысканий (при соответствии тр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бованиям статьи 49 Градостроительного кодекса Российской Федерации);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копия разрешения на строительство (реконструкцию) производственных об</w:t>
      </w:r>
      <w:r>
        <w:rPr>
          <w:sz w:val="26"/>
          <w:szCs w:val="26"/>
        </w:rPr>
        <w:t xml:space="preserve">ъ</w:t>
      </w:r>
      <w:r>
        <w:rPr>
          <w:sz w:val="26"/>
          <w:szCs w:val="26"/>
        </w:rPr>
        <w:t xml:space="preserve">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дуктов ее переработки.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достоверность сведений, содержащихся в документах, представленных сельскохозяйственными потребительскими кооперативами, несут сельскохозяйственные потребительские кооперативы.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В случае если сельскохозяйственный потребительский кооператив не представил указанные в </w:t>
      </w:r>
      <w:hyperlink w:tooltip="выписка из Единого государственного реестра юридических лиц, выданная регистрирующим органом на первое число месяца, в котором Минсельхозом Чувашии объявлен конкурсный отбор;" w:anchor="Par7918" w:history="1">
        <w:r>
          <w:rPr>
            <w:sz w:val="26"/>
            <w:szCs w:val="26"/>
          </w:rPr>
          <w:t xml:space="preserve">абзацах втором</w:t>
        </w:r>
      </w:hyperlink>
      <w:r>
        <w:rPr>
          <w:sz w:val="26"/>
          <w:szCs w:val="26"/>
        </w:rPr>
        <w:t xml:space="preserve"> – </w:t>
      </w:r>
      <w:hyperlink w:tooltip="справка из налогового органа о наличии (об 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" w:anchor="Par7921" w:history="1">
        <w:r>
          <w:rPr>
            <w:sz w:val="26"/>
            <w:szCs w:val="26"/>
          </w:rPr>
          <w:t xml:space="preserve">четвертом</w:t>
        </w:r>
      </w:hyperlink>
      <w:r>
        <w:rPr>
          <w:sz w:val="26"/>
          <w:szCs w:val="26"/>
        </w:rPr>
        <w:t xml:space="preserve">, </w:t>
      </w:r>
      <w:hyperlink w:tooltip="справка, выданная территориальным подразделением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" w:anchor="Par7924" w:history="1">
        <w:r>
          <w:rPr>
            <w:sz w:val="26"/>
            <w:szCs w:val="26"/>
          </w:rPr>
          <w:t xml:space="preserve">шестом,</w:t>
        </w:r>
      </w:hyperlink>
      <w:r>
        <w:t xml:space="preserve"> </w:t>
      </w:r>
      <w:hyperlink w:tooltip="копия налоговой отчетности за предшествующий календарный год с отметкой налогового органа о ее принятии либо в случае представления отчетности в электронном виде с приложением квитанции о приеме (для сельскохозяйственных потребительских кооперативов, применяющ" w:anchor="Par7927" w:history="1">
        <w:r>
          <w:rPr>
            <w:sz w:val="26"/>
            <w:szCs w:val="26"/>
          </w:rPr>
          <w:t xml:space="preserve">восьмом и девятом пункта 2</w:t>
        </w:r>
      </w:hyperlink>
      <w:r>
        <w:rPr>
          <w:sz w:val="26"/>
          <w:szCs w:val="26"/>
        </w:rPr>
        <w:t xml:space="preserve"> настоящего перечня документы по собственной инициативе, Минсельхоз Чув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шии для их получения направляет межведомственный запрос в порядке, пред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смотренном законодательством Российской Федерации и законодательством Ч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вашской Республики.</w:t>
      </w:r>
      <w:r>
        <w:rPr>
          <w:sz w:val="26"/>
          <w:szCs w:val="26"/>
        </w:rPr>
      </w:r>
    </w:p>
    <w:p>
      <w:pPr>
        <w:pStyle w:val="621"/>
        <w:ind w:firstLine="709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3. Сельскохозяйственный потребительский кооператив вправе предст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вить также любые документы, которые, по его мнению, могут повлиять на 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шение  комиссии по проведению отбора на получение грантов в форме субсидий для малых форм хозяйствования.</w:t>
      </w:r>
      <w:r>
        <w:rPr>
          <w:sz w:val="26"/>
          <w:szCs w:val="26"/>
        </w:rPr>
      </w:r>
    </w:p>
    <w:p>
      <w:r/>
      <w:bookmarkStart w:id="5" w:name="_GoBack"/>
      <w:r/>
      <w:bookmarkEnd w:id="5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3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 Наиля</dc:creator>
  <cp:revision>2</cp:revision>
  <dcterms:created xsi:type="dcterms:W3CDTF">2024-04-15T08:18:00Z</dcterms:created>
  <dcterms:modified xsi:type="dcterms:W3CDTF">2025-04-22T08:36:46Z</dcterms:modified>
</cp:coreProperties>
</file>