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E5512" w:rsidRPr="00583E48" w:rsidTr="008E5512">
        <w:trPr>
          <w:trHeight w:val="1130"/>
        </w:trPr>
        <w:tc>
          <w:tcPr>
            <w:tcW w:w="3540" w:type="dxa"/>
          </w:tcPr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E5512" w:rsidRPr="00583E48" w:rsidRDefault="008E5512" w:rsidP="008E5512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5C7D94" wp14:editId="744A4E9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E5512" w:rsidRPr="00583E48" w:rsidRDefault="008E5512" w:rsidP="008E55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E5512" w:rsidRPr="00A22345" w:rsidRDefault="008E5512" w:rsidP="008E55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955" w:rsidRDefault="008E5512" w:rsidP="008E551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13.02.2024  № 365</w:t>
      </w:r>
      <w:bookmarkStart w:id="0" w:name="_GoBack"/>
      <w:bookmarkEnd w:id="0"/>
    </w:p>
    <w:p w:rsidR="007D1955" w:rsidRDefault="007D1955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</w:p>
    <w:p w:rsidR="001464FD" w:rsidRPr="005C2FD1" w:rsidRDefault="00A666A6" w:rsidP="007D1955">
      <w:pPr>
        <w:widowControl w:val="0"/>
        <w:tabs>
          <w:tab w:val="left" w:pos="0"/>
          <w:tab w:val="left" w:pos="7371"/>
        </w:tabs>
        <w:ind w:right="3542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C83A4F">
        <w:rPr>
          <w:bCs/>
          <w:sz w:val="28"/>
          <w:szCs w:val="28"/>
        </w:rPr>
        <w:t>Подготовка и выдача градостроительных планов земельных участков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bCs/>
          <w:sz w:val="28"/>
          <w:szCs w:val="28"/>
        </w:rPr>
        <w:t>08</w:t>
      </w:r>
      <w:r w:rsidRPr="005C2FD1">
        <w:rPr>
          <w:bCs/>
          <w:sz w:val="28"/>
          <w:szCs w:val="28"/>
        </w:rPr>
        <w:t>.12.2022 № 4</w:t>
      </w:r>
      <w:r w:rsidR="00C83A4F">
        <w:rPr>
          <w:bCs/>
          <w:sz w:val="28"/>
          <w:szCs w:val="28"/>
        </w:rPr>
        <w:t>379</w:t>
      </w:r>
    </w:p>
    <w:p w:rsidR="004E4C7F" w:rsidRDefault="004E4C7F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7D1955">
      <w:pPr>
        <w:pStyle w:val="a3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>с</w:t>
      </w:r>
      <w:r w:rsidR="00B50C54">
        <w:rPr>
          <w:rFonts w:eastAsiaTheme="minorEastAsia"/>
          <w:bCs/>
          <w:sz w:val="28"/>
          <w:szCs w:val="28"/>
        </w:rPr>
        <w:t xml:space="preserve"> Градостроительным</w:t>
      </w:r>
      <w:r w:rsidR="00B50C54" w:rsidRPr="00B50C54">
        <w:rPr>
          <w:rFonts w:eastAsiaTheme="minorEastAsia"/>
          <w:bCs/>
          <w:sz w:val="28"/>
          <w:szCs w:val="28"/>
        </w:rPr>
        <w:t xml:space="preserve"> </w:t>
      </w:r>
      <w:r w:rsidR="00B50C54" w:rsidRPr="0072703A">
        <w:rPr>
          <w:rFonts w:eastAsiaTheme="minorEastAsia"/>
          <w:bCs/>
          <w:sz w:val="28"/>
          <w:szCs w:val="28"/>
        </w:rPr>
        <w:t>кодексом Российской Федерации</w:t>
      </w:r>
      <w:r w:rsidR="00B50C54">
        <w:rPr>
          <w:rFonts w:eastAsiaTheme="minorEastAsia"/>
          <w:bCs/>
          <w:sz w:val="28"/>
          <w:szCs w:val="28"/>
        </w:rPr>
        <w:t>,</w:t>
      </w:r>
      <w:r w:rsidR="00AD26FA"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 в</w:t>
      </w:r>
      <w:r w:rsidR="007D1955">
        <w:rPr>
          <w:bCs/>
          <w:sz w:val="28"/>
          <w:szCs w:val="28"/>
        </w:rPr>
        <w:t> </w:t>
      </w:r>
      <w:r w:rsidR="00E31860" w:rsidRPr="0072703A">
        <w:rPr>
          <w:bCs/>
          <w:sz w:val="28"/>
          <w:szCs w:val="28"/>
        </w:rPr>
        <w:t xml:space="preserve">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proofErr w:type="gramStart"/>
      <w:r w:rsidRPr="0072703A">
        <w:rPr>
          <w:rFonts w:eastAsiaTheme="minorEastAsia"/>
          <w:bCs/>
          <w:sz w:val="28"/>
          <w:szCs w:val="28"/>
        </w:rPr>
        <w:t>п</w:t>
      </w:r>
      <w:proofErr w:type="gramEnd"/>
      <w:r w:rsidRPr="0072703A">
        <w:rPr>
          <w:rFonts w:eastAsiaTheme="minorEastAsia"/>
          <w:bCs/>
          <w:sz w:val="28"/>
          <w:szCs w:val="28"/>
        </w:rPr>
        <w:t> о с т а н о в л я е </w:t>
      </w:r>
      <w:proofErr w:type="gramStart"/>
      <w:r w:rsidRPr="0072703A">
        <w:rPr>
          <w:rFonts w:eastAsiaTheme="minorEastAsia"/>
          <w:bCs/>
          <w:sz w:val="28"/>
          <w:szCs w:val="28"/>
        </w:rPr>
        <w:t>т</w:t>
      </w:r>
      <w:proofErr w:type="gramEnd"/>
      <w:r w:rsidRPr="0072703A">
        <w:rPr>
          <w:rFonts w:eastAsiaTheme="minorEastAsia"/>
          <w:bCs/>
          <w:sz w:val="28"/>
          <w:szCs w:val="28"/>
        </w:rPr>
        <w:t xml:space="preserve">: </w:t>
      </w:r>
    </w:p>
    <w:p w:rsidR="00AD26FA" w:rsidRPr="008966EC" w:rsidRDefault="00A666A6" w:rsidP="007D1955">
      <w:pPr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C83A4F">
        <w:rPr>
          <w:rFonts w:eastAsiaTheme="minorEastAsia"/>
          <w:bCs/>
          <w:sz w:val="28"/>
          <w:szCs w:val="28"/>
        </w:rPr>
        <w:t>Подготовка и выдача градостроительных планов земельных участков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rFonts w:eastAsiaTheme="minorEastAsia"/>
          <w:bCs/>
          <w:sz w:val="28"/>
          <w:szCs w:val="28"/>
        </w:rPr>
        <w:t xml:space="preserve">08.12.2022 № </w:t>
      </w:r>
      <w:r w:rsidR="00AD26FA" w:rsidRPr="008966EC">
        <w:rPr>
          <w:rFonts w:eastAsiaTheme="minorEastAsia"/>
          <w:bCs/>
          <w:sz w:val="28"/>
          <w:szCs w:val="28"/>
        </w:rPr>
        <w:t>4</w:t>
      </w:r>
      <w:r w:rsidR="00C83A4F">
        <w:rPr>
          <w:rFonts w:eastAsiaTheme="minorEastAsia"/>
          <w:bCs/>
          <w:sz w:val="28"/>
          <w:szCs w:val="28"/>
        </w:rPr>
        <w:t>379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</w:p>
    <w:p w:rsidR="00F745FD" w:rsidRDefault="00C3549B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F745FD" w:rsidRPr="00F745FD" w:rsidRDefault="00DA5727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подраздел 2.11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F745FD" w:rsidRPr="00F745FD" w:rsidRDefault="00F745FD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2.11. Срок и порядок регистрации заявления, в том числе в электронной форме</w:t>
      </w:r>
      <w:r w:rsidRPr="00F745FD">
        <w:rPr>
          <w:bCs/>
          <w:sz w:val="28"/>
          <w:szCs w:val="28"/>
        </w:rPr>
        <w:t xml:space="preserve"> </w:t>
      </w:r>
    </w:p>
    <w:p w:rsidR="00F745FD" w:rsidRPr="00F745FD" w:rsidRDefault="00F745FD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lastRenderedPageBreak/>
        <w:t xml:space="preserve">в системе электронного документооборота (далее – СЭД) с 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;</w:t>
      </w:r>
    </w:p>
    <w:p w:rsidR="00F745FD" w:rsidRPr="00F745FD" w:rsidRDefault="00F745FD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.</w:t>
      </w:r>
    </w:p>
    <w:p w:rsidR="00F745FD" w:rsidRDefault="00F745FD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</w:t>
      </w:r>
      <w:proofErr w:type="gramStart"/>
      <w:r w:rsidRPr="00F745FD">
        <w:rPr>
          <w:bCs/>
          <w:sz w:val="28"/>
          <w:szCs w:val="28"/>
        </w:rPr>
        <w:t>.»;</w:t>
      </w:r>
      <w:proofErr w:type="gramEnd"/>
    </w:p>
    <w:p w:rsidR="00F745FD" w:rsidRDefault="00DA5727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подраздел 2.12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A21F49" w:rsidRPr="008966EC" w:rsidRDefault="00A21F4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8966EC" w:rsidRDefault="00A21F4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7D1955">
        <w:rPr>
          <w:bCs/>
          <w:sz w:val="28"/>
          <w:szCs w:val="28"/>
        </w:rPr>
        <w:t> </w:t>
      </w:r>
      <w:r w:rsidRPr="008966EC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A21F49" w:rsidRPr="008966EC" w:rsidRDefault="00A21F4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lastRenderedPageBreak/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 xml:space="preserve">115 в федеральном учреждении </w:t>
      </w:r>
      <w:proofErr w:type="gramStart"/>
      <w:r w:rsidRPr="008966EC">
        <w:rPr>
          <w:bCs/>
          <w:sz w:val="28"/>
          <w:szCs w:val="28"/>
        </w:rPr>
        <w:t>медико-социальной</w:t>
      </w:r>
      <w:proofErr w:type="gramEnd"/>
      <w:r w:rsidRPr="008966EC">
        <w:rPr>
          <w:bCs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1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8966EC" w:rsidRDefault="00A21F4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2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</w:t>
      </w:r>
      <w:proofErr w:type="gramStart"/>
      <w:r w:rsidRPr="008966EC">
        <w:rPr>
          <w:sz w:val="28"/>
          <w:szCs w:val="28"/>
        </w:rPr>
        <w:t>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097D0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F745FD" w:rsidRDefault="00097D09" w:rsidP="007D1955">
      <w:pPr>
        <w:tabs>
          <w:tab w:val="num" w:pos="142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C32785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</w:t>
      </w:r>
      <w:r w:rsidR="00C32785">
        <w:rPr>
          <w:b/>
          <w:bCs/>
          <w:sz w:val="28"/>
          <w:szCs w:val="28"/>
        </w:rPr>
        <w:t xml:space="preserve">ставления муниципальных услуг в </w:t>
      </w:r>
      <w:r w:rsidRPr="00C32785">
        <w:rPr>
          <w:b/>
          <w:bCs/>
          <w:sz w:val="28"/>
          <w:szCs w:val="28"/>
        </w:rPr>
        <w:t>электронной форме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7D1955">
      <w:pPr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2.14.3. Муниципальная услуга </w:t>
      </w:r>
      <w:proofErr w:type="gramStart"/>
      <w:r w:rsidRPr="008966EC">
        <w:rPr>
          <w:sz w:val="28"/>
          <w:szCs w:val="28"/>
        </w:rPr>
        <w:t>предоставляется</w:t>
      </w:r>
      <w:proofErr w:type="gramEnd"/>
      <w:r w:rsidRPr="008966EC">
        <w:rPr>
          <w:sz w:val="28"/>
          <w:szCs w:val="28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</w:t>
      </w:r>
      <w:r w:rsidRPr="008966EC">
        <w:rPr>
          <w:sz w:val="28"/>
          <w:szCs w:val="28"/>
        </w:rPr>
        <w:lastRenderedPageBreak/>
        <w:t>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7D1955">
      <w:pPr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</w:t>
      </w:r>
      <w:r w:rsidR="006E7779">
        <w:rPr>
          <w:sz w:val="28"/>
          <w:szCs w:val="28"/>
          <w:lang w:eastAsia="ru-RU"/>
        </w:rPr>
        <w:t xml:space="preserve">иема заявления, поданного через </w:t>
      </w:r>
      <w:r w:rsidRPr="008966EC">
        <w:rPr>
          <w:sz w:val="28"/>
          <w:szCs w:val="28"/>
          <w:lang w:eastAsia="ru-RU"/>
        </w:rPr>
        <w:t>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7D1955">
      <w:pPr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уведомление о</w:t>
      </w:r>
      <w:r w:rsidR="006E7779">
        <w:rPr>
          <w:sz w:val="28"/>
          <w:szCs w:val="28"/>
          <w:lang w:eastAsia="ru-RU"/>
        </w:rPr>
        <w:t xml:space="preserve"> принятом решении, в том числе о</w:t>
      </w:r>
      <w:r w:rsidRPr="008966EC">
        <w:rPr>
          <w:sz w:val="28"/>
          <w:szCs w:val="28"/>
          <w:lang w:eastAsia="ru-RU"/>
        </w:rPr>
        <w:t xml:space="preserve"> </w:t>
      </w:r>
      <w:proofErr w:type="gramStart"/>
      <w:r w:rsidRPr="008966EC">
        <w:rPr>
          <w:sz w:val="28"/>
          <w:szCs w:val="28"/>
          <w:lang w:eastAsia="ru-RU"/>
        </w:rPr>
        <w:t>решении</w:t>
      </w:r>
      <w:proofErr w:type="gramEnd"/>
      <w:r w:rsidRPr="008966EC">
        <w:rPr>
          <w:sz w:val="28"/>
          <w:szCs w:val="28"/>
          <w:lang w:eastAsia="ru-RU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7D1955">
      <w:pPr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8966EC">
        <w:rPr>
          <w:sz w:val="28"/>
          <w:szCs w:val="28"/>
          <w:lang w:eastAsia="ru-RU"/>
        </w:rPr>
        <w:t xml:space="preserve">, </w:t>
      </w:r>
      <w:proofErr w:type="gramStart"/>
      <w:r w:rsidRPr="008966EC">
        <w:rPr>
          <w:sz w:val="28"/>
          <w:szCs w:val="28"/>
          <w:lang w:eastAsia="ru-RU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</w:t>
      </w:r>
      <w:r w:rsidRPr="008966EC">
        <w:rPr>
          <w:sz w:val="28"/>
          <w:szCs w:val="28"/>
          <w:lang w:eastAsia="ru-RU"/>
        </w:rPr>
        <w:lastRenderedPageBreak/>
        <w:t>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  <w:proofErr w:type="gramEnd"/>
    </w:p>
    <w:p w:rsidR="00097D09" w:rsidRPr="008966EC" w:rsidRDefault="00097D09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8966EC">
        <w:rPr>
          <w:sz w:val="28"/>
          <w:szCs w:val="28"/>
          <w:lang w:eastAsia="ru-RU"/>
        </w:rPr>
        <w:t>услуги</w:t>
      </w:r>
      <w:proofErr w:type="gramEnd"/>
      <w:r w:rsidRPr="008966EC">
        <w:rPr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3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</w:t>
      </w:r>
      <w:r w:rsidR="00440240">
        <w:rPr>
          <w:sz w:val="28"/>
          <w:szCs w:val="28"/>
        </w:rPr>
        <w:t>рственных и муниципальных услуг.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4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5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6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7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</w:t>
      </w:r>
      <w:r w:rsidRPr="008966EC">
        <w:rPr>
          <w:sz w:val="28"/>
          <w:szCs w:val="28"/>
          <w:lang w:eastAsia="ru-RU"/>
        </w:rPr>
        <w:lastRenderedPageBreak/>
        <w:t>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87CBE" w:rsidRPr="008966EC" w:rsidRDefault="00B87CBE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8966EC">
        <w:rPr>
          <w:sz w:val="28"/>
          <w:szCs w:val="28"/>
        </w:rPr>
        <w:t>.</w:t>
      </w:r>
      <w:r w:rsidR="00B50C54">
        <w:rPr>
          <w:sz w:val="28"/>
          <w:szCs w:val="28"/>
        </w:rPr>
        <w:t>».</w:t>
      </w:r>
      <w:proofErr w:type="gramEnd"/>
    </w:p>
    <w:p w:rsidR="00340DC5" w:rsidRPr="00E82C0A" w:rsidRDefault="00340DC5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lastRenderedPageBreak/>
        <w:t xml:space="preserve">1.2. </w:t>
      </w:r>
      <w:r w:rsidR="003D5848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подпункт </w:t>
      </w:r>
      <w:r w:rsidR="003D5848">
        <w:rPr>
          <w:sz w:val="28"/>
          <w:szCs w:val="28"/>
        </w:rPr>
        <w:t>3.3.6.1 пункта 3.3.6 подраздела 3.3</w:t>
      </w:r>
      <w:r w:rsidR="00C3044A" w:rsidRPr="00E82C0A">
        <w:rPr>
          <w:sz w:val="28"/>
          <w:szCs w:val="28"/>
        </w:rPr>
        <w:t xml:space="preserve"> </w:t>
      </w:r>
      <w:r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  <w:proofErr w:type="gramEnd"/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proofErr w:type="gramStart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4E32" w:rsidRPr="008966EC" w:rsidRDefault="00554E32" w:rsidP="007D1955">
      <w:pPr>
        <w:pStyle w:val="aff6"/>
        <w:tabs>
          <w:tab w:val="num" w:pos="142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lastRenderedPageBreak/>
        <w:t>2) единой системы идентификац</w:t>
      </w:r>
      <w:proofErr w:type="gramStart"/>
      <w:r w:rsidRPr="008966EC">
        <w:rPr>
          <w:sz w:val="28"/>
          <w:szCs w:val="28"/>
        </w:rPr>
        <w:t>ии и ау</w:t>
      </w:r>
      <w:proofErr w:type="gramEnd"/>
      <w:r w:rsidRPr="008966EC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F411B0">
        <w:rPr>
          <w:sz w:val="28"/>
          <w:szCs w:val="28"/>
          <w:lang w:eastAsia="ru-RU"/>
        </w:rPr>
        <w:t>подразделом 2.11</w:t>
      </w:r>
      <w:r w:rsidRPr="008966EC">
        <w:rPr>
          <w:sz w:val="28"/>
          <w:szCs w:val="28"/>
          <w:lang w:eastAsia="ru-RU"/>
        </w:rPr>
        <w:t xml:space="preserve"> Административного регламента.</w:t>
      </w:r>
    </w:p>
    <w:p w:rsidR="00A641B0" w:rsidRPr="008966EC" w:rsidRDefault="00A641B0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8966EC">
        <w:rPr>
          <w:sz w:val="28"/>
          <w:szCs w:val="28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805CB6" w:rsidRDefault="00A641B0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</w:t>
      </w:r>
      <w:proofErr w:type="gramStart"/>
      <w:r w:rsidRPr="008966EC">
        <w:rPr>
          <w:bCs/>
          <w:sz w:val="28"/>
          <w:szCs w:val="28"/>
          <w:lang w:eastAsia="ru-RU"/>
        </w:rPr>
        <w:t>.»;</w:t>
      </w:r>
      <w:proofErr w:type="gramEnd"/>
    </w:p>
    <w:p w:rsidR="00DF27C6" w:rsidRPr="00DF27C6" w:rsidRDefault="00DF27C6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F27C6">
        <w:rPr>
          <w:bCs/>
          <w:sz w:val="28"/>
          <w:szCs w:val="28"/>
          <w:lang w:eastAsia="ru-RU"/>
        </w:rPr>
        <w:t xml:space="preserve">подпункт 3.3.6.4 </w:t>
      </w:r>
      <w:r w:rsidR="00E23421">
        <w:rPr>
          <w:bCs/>
          <w:sz w:val="28"/>
          <w:szCs w:val="28"/>
          <w:lang w:eastAsia="ru-RU"/>
        </w:rPr>
        <w:t xml:space="preserve">пункта 3.3.6 </w:t>
      </w:r>
      <w:r w:rsidRPr="00DF27C6">
        <w:rPr>
          <w:bCs/>
          <w:sz w:val="28"/>
          <w:szCs w:val="28"/>
          <w:lang w:eastAsia="ru-RU"/>
        </w:rPr>
        <w:t xml:space="preserve">подраздела 3.3 дополнить абзацем </w:t>
      </w:r>
      <w:r w:rsidRPr="00DF27C6">
        <w:rPr>
          <w:bCs/>
          <w:sz w:val="28"/>
          <w:szCs w:val="28"/>
          <w:lang w:eastAsia="ru-RU"/>
        </w:rPr>
        <w:lastRenderedPageBreak/>
        <w:t>следующего содержания:</w:t>
      </w:r>
    </w:p>
    <w:p w:rsidR="00DF27C6" w:rsidRPr="00DF27C6" w:rsidRDefault="00DF27C6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DF27C6">
        <w:rPr>
          <w:bCs/>
          <w:sz w:val="28"/>
          <w:szCs w:val="28"/>
          <w:lang w:eastAsia="ru-RU"/>
        </w:rPr>
        <w:t>«В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  <w:proofErr w:type="gramEnd"/>
    </w:p>
    <w:p w:rsidR="00DA5727" w:rsidRDefault="00DA5727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подразделы 3.5 и 3.6 признать утратившими силу.</w:t>
      </w:r>
    </w:p>
    <w:p w:rsidR="00DF27C6" w:rsidRPr="00DF27C6" w:rsidRDefault="00DF27C6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7C6">
        <w:rPr>
          <w:sz w:val="28"/>
          <w:szCs w:val="28"/>
          <w:lang w:eastAsia="ru-RU"/>
        </w:rPr>
        <w:t>1.3. Подраздел 5.2 раздела V</w:t>
      </w:r>
      <w:r w:rsidR="00E23421">
        <w:rPr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служащих, МФЦ, его работников»</w:t>
      </w:r>
      <w:r w:rsidRPr="00DF27C6">
        <w:rPr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DF27C6" w:rsidRPr="00DF27C6" w:rsidRDefault="00DF27C6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7C6">
        <w:rPr>
          <w:sz w:val="28"/>
          <w:szCs w:val="28"/>
          <w:lang w:eastAsia="ru-RU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CF1CEC" w:rsidRPr="008966EC" w:rsidRDefault="00CF1CEC" w:rsidP="007D1955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="007D1955">
        <w:rPr>
          <w:sz w:val="28"/>
          <w:szCs w:val="28"/>
          <w:lang w:eastAsia="ru-RU"/>
        </w:rPr>
        <w:t> </w:t>
      </w:r>
      <w:r w:rsidR="001F5A3F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</w:t>
      </w:r>
      <w:r w:rsidR="007D1955">
        <w:rPr>
          <w:sz w:val="28"/>
          <w:szCs w:val="28"/>
          <w:lang w:eastAsia="ru-RU"/>
        </w:rPr>
        <w:t>п</w:t>
      </w:r>
      <w:r w:rsidRPr="00CF1CEC">
        <w:rPr>
          <w:sz w:val="28"/>
          <w:szCs w:val="28"/>
          <w:lang w:eastAsia="ru-RU"/>
        </w:rPr>
        <w:t>риложениях № 1, № 3 к Административному регламенту</w:t>
      </w:r>
      <w:r w:rsidR="00BF6049">
        <w:rPr>
          <w:sz w:val="28"/>
          <w:szCs w:val="28"/>
          <w:lang w:eastAsia="ru-RU"/>
        </w:rPr>
        <w:t xml:space="preserve"> администрации города Чебоксары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DA5727">
        <w:rPr>
          <w:sz w:val="28"/>
          <w:szCs w:val="28"/>
          <w:lang w:eastAsia="ru-RU"/>
        </w:rPr>
        <w:t>В администрацию</w:t>
      </w:r>
      <w:r w:rsidRPr="00CF1CEC">
        <w:rPr>
          <w:sz w:val="28"/>
          <w:szCs w:val="28"/>
          <w:lang w:eastAsia="ru-RU"/>
        </w:rPr>
        <w:t xml:space="preserve"> города Чебоксары».</w:t>
      </w:r>
    </w:p>
    <w:p w:rsidR="001464FD" w:rsidRPr="00AD24C1" w:rsidRDefault="00A666A6" w:rsidP="007D1955">
      <w:pPr>
        <w:widowControl w:val="0"/>
        <w:numPr>
          <w:ilvl w:val="0"/>
          <w:numId w:val="6"/>
        </w:numPr>
        <w:tabs>
          <w:tab w:val="clear" w:pos="0"/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</w:t>
      </w:r>
      <w:r w:rsidR="007D1955">
        <w:rPr>
          <w:rFonts w:eastAsiaTheme="minorEastAsia"/>
          <w:sz w:val="28"/>
          <w:szCs w:val="28"/>
          <w:lang w:eastAsia="ar-SA"/>
        </w:rPr>
        <w:t> </w:t>
      </w:r>
      <w:r w:rsidRPr="00AD24C1">
        <w:rPr>
          <w:rFonts w:eastAsiaTheme="minorEastAsia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464FD" w:rsidRPr="00AD24C1" w:rsidRDefault="00A666A6" w:rsidP="007D1955">
      <w:pPr>
        <w:widowControl w:val="0"/>
        <w:numPr>
          <w:ilvl w:val="0"/>
          <w:numId w:val="6"/>
        </w:numPr>
        <w:tabs>
          <w:tab w:val="clear" w:pos="0"/>
          <w:tab w:val="num" w:pos="142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3.</w:t>
      </w:r>
      <w:r w:rsidR="007D1955">
        <w:rPr>
          <w:rFonts w:eastAsiaTheme="minorEastAsia"/>
          <w:spacing w:val="-2"/>
          <w:sz w:val="28"/>
          <w:szCs w:val="28"/>
          <w:lang w:eastAsia="ar-SA"/>
        </w:rPr>
        <w:t> </w:t>
      </w:r>
      <w:proofErr w:type="gramStart"/>
      <w:r w:rsidRPr="00AD24C1">
        <w:rPr>
          <w:rFonts w:eastAsiaTheme="minorEastAsia"/>
          <w:spacing w:val="-2"/>
          <w:sz w:val="28"/>
          <w:szCs w:val="28"/>
          <w:lang w:eastAsia="ar-SA"/>
        </w:rPr>
        <w:t>Контроль за</w:t>
      </w:r>
      <w:proofErr w:type="gramEnd"/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2834A5" w:rsidRPr="0056350C" w:rsidRDefault="002834A5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D1BEE" w:rsidRDefault="002834A5" w:rsidP="00DE1E23">
      <w:pPr>
        <w:pStyle w:val="ac"/>
        <w:tabs>
          <w:tab w:val="clear" w:pos="4153"/>
          <w:tab w:val="clear" w:pos="8306"/>
          <w:tab w:val="left" w:pos="709"/>
        </w:tabs>
        <w:jc w:val="both"/>
      </w:pPr>
      <w:r>
        <w:rPr>
          <w:rFonts w:eastAsiaTheme="minorEastAsia"/>
          <w:spacing w:val="-2"/>
          <w:sz w:val="28"/>
          <w:szCs w:val="28"/>
        </w:rPr>
        <w:t>Г</w:t>
      </w:r>
      <w:r w:rsidR="00867848" w:rsidRPr="00867848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>а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города Чебоксары                                                          </w:t>
      </w:r>
      <w:r w:rsidR="00867848">
        <w:rPr>
          <w:rFonts w:eastAsiaTheme="minorEastAsia"/>
          <w:spacing w:val="-2"/>
          <w:sz w:val="28"/>
          <w:szCs w:val="28"/>
        </w:rPr>
        <w:t xml:space="preserve"> 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        Д.В. Спирин</w:t>
      </w:r>
    </w:p>
    <w:p w:rsidR="001D1BEE" w:rsidRDefault="001D1BEE"/>
    <w:sectPr w:rsidR="001D1BEE" w:rsidSect="00440240">
      <w:footerReference w:type="default" r:id="rId19"/>
      <w:pgSz w:w="11907" w:h="16840"/>
      <w:pgMar w:top="1135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12" w:rsidRDefault="008E5512">
      <w:r>
        <w:separator/>
      </w:r>
    </w:p>
  </w:endnote>
  <w:endnote w:type="continuationSeparator" w:id="0">
    <w:p w:rsidR="008E5512" w:rsidRDefault="008E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12" w:rsidRPr="007D1955" w:rsidRDefault="008E5512" w:rsidP="007D1955">
    <w:pPr>
      <w:pStyle w:val="ae"/>
      <w:jc w:val="right"/>
      <w:rPr>
        <w:sz w:val="16"/>
        <w:szCs w:val="16"/>
      </w:rPr>
    </w:pPr>
    <w:r>
      <w:rPr>
        <w:sz w:val="16"/>
        <w:szCs w:val="16"/>
      </w:rPr>
      <w:t>010-133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12" w:rsidRDefault="008E5512">
      <w:r>
        <w:separator/>
      </w:r>
    </w:p>
  </w:footnote>
  <w:footnote w:type="continuationSeparator" w:id="0">
    <w:p w:rsidR="008E5512" w:rsidRDefault="008E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D"/>
    <w:rsid w:val="00020D3E"/>
    <w:rsid w:val="00040994"/>
    <w:rsid w:val="000451DB"/>
    <w:rsid w:val="00062E83"/>
    <w:rsid w:val="00097D09"/>
    <w:rsid w:val="000D23EC"/>
    <w:rsid w:val="000D6EE5"/>
    <w:rsid w:val="0013503C"/>
    <w:rsid w:val="001464FD"/>
    <w:rsid w:val="001A2ED2"/>
    <w:rsid w:val="001C58D8"/>
    <w:rsid w:val="001D1BEE"/>
    <w:rsid w:val="001D3D36"/>
    <w:rsid w:val="001D7C37"/>
    <w:rsid w:val="001F5A3F"/>
    <w:rsid w:val="00214753"/>
    <w:rsid w:val="00222B29"/>
    <w:rsid w:val="00233D1B"/>
    <w:rsid w:val="00236E34"/>
    <w:rsid w:val="00247041"/>
    <w:rsid w:val="002834A5"/>
    <w:rsid w:val="00290D91"/>
    <w:rsid w:val="002A0285"/>
    <w:rsid w:val="002A1F77"/>
    <w:rsid w:val="002B3C6D"/>
    <w:rsid w:val="00305FC8"/>
    <w:rsid w:val="00327212"/>
    <w:rsid w:val="00340DC5"/>
    <w:rsid w:val="00346E02"/>
    <w:rsid w:val="0035795C"/>
    <w:rsid w:val="00382D9D"/>
    <w:rsid w:val="003923EB"/>
    <w:rsid w:val="00395625"/>
    <w:rsid w:val="003A2080"/>
    <w:rsid w:val="003C605E"/>
    <w:rsid w:val="003D388F"/>
    <w:rsid w:val="003D5848"/>
    <w:rsid w:val="0040048C"/>
    <w:rsid w:val="00417725"/>
    <w:rsid w:val="004341D6"/>
    <w:rsid w:val="00440240"/>
    <w:rsid w:val="00447FC2"/>
    <w:rsid w:val="00471642"/>
    <w:rsid w:val="0048155F"/>
    <w:rsid w:val="004A73A1"/>
    <w:rsid w:val="004E4C7F"/>
    <w:rsid w:val="004E7140"/>
    <w:rsid w:val="00501B82"/>
    <w:rsid w:val="00501E8B"/>
    <w:rsid w:val="00523DD6"/>
    <w:rsid w:val="00542A2F"/>
    <w:rsid w:val="00554E32"/>
    <w:rsid w:val="00557F4C"/>
    <w:rsid w:val="0056350C"/>
    <w:rsid w:val="00586A24"/>
    <w:rsid w:val="005C2FD1"/>
    <w:rsid w:val="006124BF"/>
    <w:rsid w:val="0061426E"/>
    <w:rsid w:val="006448AF"/>
    <w:rsid w:val="0064778A"/>
    <w:rsid w:val="00652236"/>
    <w:rsid w:val="00676F9E"/>
    <w:rsid w:val="006E33BE"/>
    <w:rsid w:val="006E7779"/>
    <w:rsid w:val="0072703A"/>
    <w:rsid w:val="007437BF"/>
    <w:rsid w:val="00753AC1"/>
    <w:rsid w:val="0076111C"/>
    <w:rsid w:val="00781F86"/>
    <w:rsid w:val="007A40BF"/>
    <w:rsid w:val="007D1955"/>
    <w:rsid w:val="00802A8C"/>
    <w:rsid w:val="00803157"/>
    <w:rsid w:val="00805CB6"/>
    <w:rsid w:val="0085259D"/>
    <w:rsid w:val="00862719"/>
    <w:rsid w:val="00867848"/>
    <w:rsid w:val="008966EC"/>
    <w:rsid w:val="008B4BCB"/>
    <w:rsid w:val="008E5512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A15C75"/>
    <w:rsid w:val="00A21F49"/>
    <w:rsid w:val="00A470EF"/>
    <w:rsid w:val="00A52DB9"/>
    <w:rsid w:val="00A63FE9"/>
    <w:rsid w:val="00A641B0"/>
    <w:rsid w:val="00A666A6"/>
    <w:rsid w:val="00A762B6"/>
    <w:rsid w:val="00AD24C1"/>
    <w:rsid w:val="00AD26FA"/>
    <w:rsid w:val="00B20EAD"/>
    <w:rsid w:val="00B21A6F"/>
    <w:rsid w:val="00B270EE"/>
    <w:rsid w:val="00B50C54"/>
    <w:rsid w:val="00B55BD1"/>
    <w:rsid w:val="00B606FA"/>
    <w:rsid w:val="00B61BB0"/>
    <w:rsid w:val="00B87CBE"/>
    <w:rsid w:val="00BC2AB8"/>
    <w:rsid w:val="00BC5E97"/>
    <w:rsid w:val="00BD0B77"/>
    <w:rsid w:val="00BF6049"/>
    <w:rsid w:val="00BF65CA"/>
    <w:rsid w:val="00C3044A"/>
    <w:rsid w:val="00C32785"/>
    <w:rsid w:val="00C3549B"/>
    <w:rsid w:val="00C502F9"/>
    <w:rsid w:val="00C64095"/>
    <w:rsid w:val="00C640D0"/>
    <w:rsid w:val="00C83A4F"/>
    <w:rsid w:val="00CC158E"/>
    <w:rsid w:val="00CE1DB5"/>
    <w:rsid w:val="00CF1CEC"/>
    <w:rsid w:val="00D01906"/>
    <w:rsid w:val="00D5425B"/>
    <w:rsid w:val="00DA1E64"/>
    <w:rsid w:val="00DA5727"/>
    <w:rsid w:val="00DC19DA"/>
    <w:rsid w:val="00DE1E23"/>
    <w:rsid w:val="00DE3322"/>
    <w:rsid w:val="00DF27C6"/>
    <w:rsid w:val="00E02D79"/>
    <w:rsid w:val="00E23421"/>
    <w:rsid w:val="00E31860"/>
    <w:rsid w:val="00E6289A"/>
    <w:rsid w:val="00E82C0A"/>
    <w:rsid w:val="00E833D7"/>
    <w:rsid w:val="00ED4526"/>
    <w:rsid w:val="00ED7E64"/>
    <w:rsid w:val="00EF5DFA"/>
    <w:rsid w:val="00F05A22"/>
    <w:rsid w:val="00F10493"/>
    <w:rsid w:val="00F411B0"/>
    <w:rsid w:val="00F6101D"/>
    <w:rsid w:val="00F67928"/>
    <w:rsid w:val="00F745FD"/>
    <w:rsid w:val="00F746FD"/>
    <w:rsid w:val="00FD5FEA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C7F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C7F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document/redirect/12177515/1510" TargetMode="External"/><Relationship Id="rId18" Type="http://schemas.openxmlformats.org/officeDocument/2006/relationships/hyperlink" Target="https://internet.garant.ru/document/redirect/76817060/140118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cheb.cap.ru" TargetMode="External"/><Relationship Id="rId17" Type="http://schemas.openxmlformats.org/officeDocument/2006/relationships/hyperlink" Target="https://internet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8452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document/redirect/10164504/3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internet.garant.ru/document/redirect/12184522/21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document/redirect/12184522/5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gcheb_mashburo2</cp:lastModifiedBy>
  <cp:revision>28</cp:revision>
  <cp:lastPrinted>2024-02-09T12:06:00Z</cp:lastPrinted>
  <dcterms:created xsi:type="dcterms:W3CDTF">2023-12-11T07:54:00Z</dcterms:created>
  <dcterms:modified xsi:type="dcterms:W3CDTF">2024-02-14T11:47:00Z</dcterms:modified>
</cp:coreProperties>
</file>