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2"/>
          <w:lang w:eastAsia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реализации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мероприятий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инвестиционного профиля Ядринского муниципального округа ЧР на 01.07.2023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b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4"/>
        <w:gridCol w:w="2836"/>
        <w:gridCol w:w="9025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Выработанные мероприятия по отраслям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Ядринский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АПК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полугодии текущего года проведена серия встреч с представителями личного подсобного хозяйства в формате дискуссий с приглашением представителей местных перерабатывающих предприятий на предмет кооперации.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 марта т.г. проведено  семинар-совещание пчеловодов с участием главы Ядринского муниципального округа Станиславом Трофимовым, и.о. заместителя главы по вопросам экономики, имущества и сельского хозяйства -начальником отдела сельского хозяйства Юрием Васильевым, генеральным директором ОАО «Агентство по пчеловодству» Геннадием Максимовым, заместителем генерального директора ОАО «Агенство по пчеловодству» Анатолием Васильевым, доктором сельскохозяйственных наук Иваном Мадебейкиным и начальником БУ ЧР «Ядринская районная СББЖ» Госветслужбы Чувашии- Виктором Скобелевым.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Пчеловодами округа выступающим были заданы вопросы, на которые они получили подробные ответы.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 марта текущего года в д. Кильдишево Ядринского муниципального округа проведена  агроинженерная конференция по вопросам проведения сельскохозяйственных полевых работ с руководителями сельскохозяйственных организаций, специалистами и главами крестьянских (фермерских) хозяйств. В первой части в автопарке крестьянского (фермерского) хозяйства Григорьевой Ольги Владимировны состоялась презентация современной сельскохозяйственной техники. Участникам конференции были продемонстрированы почвенный инъектор и система точного земледелия. Вторая часть конференции прошла в Советском доме культуры, где состоялось обсуждение подготовки сельхозтехники к весеннему полевому сезону, норм внесения минеральных и органических удобрений, состояния семенного материала.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Заместителем главы Ядринского муниципального округа по вопросам экономики, имущества и сельского хозяйства проведен прием руководителей сельскохозяйственных предприятий, крестьянских (фермерских хозяйств) и самозанятых. На приеме рассмотрено  4 обращения, среди них: предоставление государственной поддержки в форме гранта «Перспектива»; поддержка самозанятых;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проблемы борьбы с борщевиком.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Решение всех вопросов, рассмотренных в ходе приема граждан, взяты на контроль администрации Ядринского муниципального округа.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7 июня на базе Центральной библиотеки Ядринского муниципального округа состоялся День аграрных знаний «Свежий взгляд на хмель». Мероприятие прошло в рамках реализации проекта Национальной библиотеки Чувашской Республики «Сила села = Ял хăвачĕ» при поддержке администрации Ядринского муниципального округа. Проект нацелен на информационное обеспечение сельскохозяйственных товаропроизводителей, фермеров, по различным вопросам отрасли, достижениям науки и передовому опыту сельского хозяйства, а также населения по вопросам ведения личного подсобного хозяйства.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Проведены ряд  встреч с потенциальными участниками в обучающем проекте «Школа фермера» по следующим направлениям: «Овцеводство», «Сельский туризм».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75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гражданам, ведущим ЛПХ по регистрации в качестве самозанятого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Промышленность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Проведено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очных встреч с предпринимателями для обсуждения планов развития и оказания мер государственной поддержки. Проведено более 15 встреч с инвесторами, организовано посещение главой Ядринского муниципального округа на промышленные предприятия: ООО «Спиртовой завод «Ядринский», АО «Ядринский кирпичный завод», ОАО «Ядринмолоко», АО «Ядринская швейная фабрика», ООО «Евротрейдинг» и др., а также площадок, реализуемых и запланированных проектов.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Посещение объектов промышленности будет продолжена.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Туризм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Организовано посещение главой Ядринского муниципального округа турбазы «Сурские зори». Рассмотрены перспективы развития туризма, также обсуждены механизмы привлечения туристов.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Постоянно оказывается консультационная поддержка руководителю общества с ограниченной ответственностью  «Республиканский центр рыбалки и водного туризма «Ядринский форт».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Оказывается консультационная поддержка строительной компании «РЕАМ-СТРОЙ», который ведет реконструкцию нежилого помещения - трехэтажного здания из железобетонных панелей в г. Ядрин  под Дом торговли, в том числе с размещением объектов общепита, центра бытовых услуг, заведений развлекательных форматов, гостиницы. Общая стоимость проекта 75 млн. рублей, в этом году уже планирует вложить около 50 млн. рублей. Будет создано 20 новых рабочих мест. Срок сдачи объекта —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марте т.г. сотрудники администрации Ядринского муниципального округа были на приеме у заместителя министра природных ресурсов и экологии Чувашской Республики Охотина Н.Н., где рассмотрены вопросы развития экологического туризма в Ядринском муниципальном округе.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Земельные и имущественные отношения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Подготовлен реестр свободных  земельных участков, производственных площадок и объектов инфраструктуры по  Ядринскому муниципальному округу. Реестр постоянно актуализируется.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Предпринимательство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 февраля на площадке ЦЦОД «IT-Куб. Ядрин» в Ядринском агротехническом техникуме  состоялся Информационный день малого и среднего предпринимательства. Информационная поддержка была оказана  50 субъектам предпринимательства.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 марта текущего года в рамках Единого информационного дня руководителем аппарата по обеспечению деятельности Уполномоченного по защите прав предпринимателей в Чувашской Республике Сергеем Тихоновым совместно с начальником отдела экономики и инвестиционной деятельности администрации Ядринского муниципального округа Инной Ильиной проведена встреча с молодыми предпринимателями и бизнесменами. В ходе конструктивного диалога начинающие и ещё только планирующие свой предпринимательский путь представители этой отрасли получили исчерпывающие ответы на интересующие их вопросы. Также на мероприятии были рассмотрены возможности предост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авления всесторонней поддержки со стороны аппарата по обеспечению деятельности Уполномоченного по защите прав предпринимателей в Чувашской Республике.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6 апреля т.г.  в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Ядринском художественно-краеведческий музей проведен круглый стол «Женщины и бизнес» с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>женщинами-предпринимател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ями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Красночетайского и Ядринского муниципальных округов.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 xml:space="preserve">Организаторами являлись общероссийская общественная организация «Женщины бизнеса» в Чувашии и администрация Ядринского муниципального округа Чувашской Республики.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Цель проекта: объединение женского предпринимательского сообщества 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муниципалитетах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, повышение статуса женщины-предпринимателя, развитие и популяризация малого и среднего бизнеса.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12  мая  в рамках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Дня российского предпринимател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ьства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торжественной обстановке в ЗАГСе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проведено чествование предпринимательских семей Ядринского муниципального округа: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семейные пары Лотовых Александра Юрьевича и Ольгу Владимировну из г. Ядрина,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2"/>
                <w:szCs w:val="22"/>
              </w:rPr>
              <w:t xml:space="preserve">Григорьевых Валерия Петровича и Ольгу Владимировну из д.Кильдишево,  Потаповых Николая Антоновича и Валентину Демьяновну из д.Верхние Ачаки.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2"/>
                <w:szCs w:val="22"/>
              </w:rPr>
              <w:t>Все семьи участвуют в организации мероприятий муниципального округа, оказывают спонсорскую помощь общественным организациям, семьям, находящимся в трудных жизненных ситуациях.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В конкурсе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молодых предпринимателей до 25 лет, желающих получить гранты до 500 тысяч на развитие своего дела в рамках национального проекта «Малое и среднее предпринимательство и поддержка индивидуальной предпринимательской инициативы» из Ядринского муниципального округа Чувашской Республики участвовали 7 претендентов. Они  обучились основам предпринимательской деятельности на акселерационной программе от центра “Мой бизнес” и далее готов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или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свои грантовые заявки. По итогам конкурса победителями признаны 2 предпринимателя.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 по составлению бизнес- планов и в получении государственной помощи. Ходатайства на разработку бизнес-проектов на безвозмездной основе  выданы тр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ем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предпринимателям.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Проведены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приемов субъектов предпринимательской деятельности, самозанятых граждан, оказана  консультация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свыше 20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предпринимателям, самозанятым.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Социальная среда, культура и спорт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Консультация с Министерством культуры, по делам национальностей и архивного дела Чувашской Республики по вопросам реставрации объектов культурного наследия ведется на постоянной основе.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Администрация Ядринского муниципального округа уделяет большое внимание повышению уровня жизни населения, активно  вовлекая жителей в заключение социальных контрактов. С начала  года с малоимущими гражданами заключено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новых социальных контрактов.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__________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493b"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before="280" w:after="119"/>
    </w:pPr>
    <w:rPr>
      <w:rFonts w:ascii="Arial" w:hAnsi="Arial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d45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LibreOffice/7.0.3.1$Windows_X86_64 LibreOffice_project/d7547858d014d4cf69878db179d326fc3483e082</Application>
  <Pages>4</Pages>
  <Words>967</Words>
  <Characters>7503</Characters>
  <CharactersWithSpaces>8525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dc:description/>
  <dc:language>ru-RU</dc:language>
  <cp:lastModifiedBy/>
  <dcterms:modified xsi:type="dcterms:W3CDTF">2023-10-26T14:39:58Z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