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5"/>
        <w:ind w:left="4962"/>
        <w:jc w:val="right"/>
        <w:spacing w:line="240" w:lineRule="auto"/>
        <w:rPr>
          <w:rFonts w:ascii="Times New Roman" w:hAnsi="Times New Roman" w:eastAsia="Times New Roman"/>
          <w:bCs/>
          <w:i/>
          <w:sz w:val="28"/>
          <w:szCs w:val="28"/>
          <w:highlight w:val="yellow"/>
        </w:rPr>
      </w:pPr>
      <w:r>
        <w:rPr>
          <w:rFonts w:ascii="Times New Roman" w:hAnsi="Times New Roman" w:eastAsia="Times New Roman"/>
          <w:i/>
          <w:iCs/>
          <w:sz w:val="28"/>
          <w:szCs w:val="28"/>
          <w:highlight w:val="yellow"/>
        </w:rPr>
      </w:r>
      <w:r>
        <w:rPr>
          <w:color w:val="ff0000"/>
          <w:szCs w:val="26"/>
          <w:highlight w:val="none"/>
        </w:rPr>
        <w:t xml:space="preserve">Проект </w:t>
      </w:r>
      <w:r>
        <w:rPr>
          <w:rFonts w:ascii="Times New Roman" w:hAnsi="Times New Roman" w:eastAsia="Times New Roman"/>
          <w:i/>
          <w:iCs/>
          <w:sz w:val="28"/>
          <w:szCs w:val="28"/>
          <w:highlight w:val="yellow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highlight w:val="yellow"/>
        </w:rPr>
      </w:r>
      <w:r>
        <w:rPr>
          <w:rFonts w:ascii="Times New Roman" w:hAnsi="Times New Roman" w:eastAsia="Times New Roman"/>
          <w:bCs/>
          <w:i/>
          <w:sz w:val="28"/>
          <w:szCs w:val="28"/>
          <w:highlight w:val="yellow"/>
        </w:rPr>
      </w:r>
    </w:p>
    <w:p>
      <w:pPr>
        <w:pStyle w:val="975"/>
        <w:ind w:left="4962"/>
        <w:jc w:val="right"/>
        <w:spacing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75"/>
        <w:ind w:left="4962"/>
        <w:jc w:val="center"/>
        <w:spacing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«УТВЕРЖДАЮ»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75"/>
        <w:ind w:left="4962"/>
        <w:jc w:val="center"/>
        <w:spacing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Министр культуры, по делам национальностей и архивного дела Чувашской Республики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75"/>
        <w:ind w:left="4962"/>
        <w:jc w:val="center"/>
        <w:spacing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75"/>
        <w:ind w:left="4962"/>
        <w:jc w:val="center"/>
        <w:spacing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__________________ С.А. Каликова 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75"/>
        <w:ind w:left="4962"/>
        <w:jc w:val="center"/>
        <w:spacing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75"/>
        <w:ind w:left="4962"/>
        <w:jc w:val="center"/>
        <w:spacing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«________»_____________ 2025 г.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75"/>
        <w:ind w:left="5387"/>
        <w:jc w:val="center"/>
        <w:spacing w:line="240" w:lineRule="auto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75"/>
        <w:ind w:left="0"/>
        <w:jc w:val="center"/>
        <w:spacing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75"/>
        <w:ind w:left="0"/>
        <w:jc w:val="center"/>
        <w:spacing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Стратегия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75"/>
        <w:ind w:left="0"/>
        <w:jc w:val="center"/>
        <w:spacing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развития государственной культурной политики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75"/>
        <w:ind w:left="0"/>
        <w:jc w:val="center"/>
        <w:spacing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Чувашской Республики  на период до 2030 года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975"/>
        <w:ind w:left="0"/>
        <w:jc w:val="left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975"/>
        <w:ind w:left="567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I. Общее положение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Стратегия развития государственной культурной политики Чувашской Республики на период до 2030 года (далее – Стратегия) разработана в соответствии с целями, принципами и задачами государственной культурной политики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определенными в Основах государственной культурной политики, утвержденных Указом Президента Российской Федерации от 24 декабря  2014 г. № 808 (далее - Основы государственной культурной политики).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Нормативно-правовую базу Стратегии составляют: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http://garant.cap.ru/document/redirect/10103000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Конституция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Российской Федерации;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" w:tooltip="http://garant.cap.ru/document/redirect/70684666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Федеральный закон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«О стратегическом планировании в Российской Федерации»;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" w:tooltip="http://garant.cap.ru/document/redirect/401425792/100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Стратегия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национальной безопасности Российской Федерации, утвержденная </w:t>
      </w:r>
      <w:hyperlink r:id="rId14" w:tooltip="http://garant.cap.ru/document/redirect/401425792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Президента Российской Федерации от 2 июля 2021 г. № 400 «О Стратегии национальной безопасности Российской Федерации»;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" w:tooltip="http://garant.cap.ru/document/redirect/403015816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Указ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Президента Российской Федерации от 8 ноября 2021 г. № 633 «Об утверждении Основ государственной политики в сфере стратегического планирова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ния в Российской Федерации», а также международные договоры, соглашения и конвенции, участницей которых является Российская Федерация, иные нормативные правовые акты Российской Федерации, регулирующие вопросы развития сферы культуры в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 разработке Стратегии учтены: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" w:tooltip="http://garant.cap.ru/document/redirect/70284810/100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Стратегия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государственной национальной политики Российской Федерации на период до 2025 года, утвержденная </w:t>
      </w:r>
      <w:hyperlink r:id="rId17" w:tooltip="http://garant.cap.ru/document/redirect/70284810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Президента Российской Федерации от 19 декабря 2012 г. № 1666;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" w:tooltip="http://garant.cap.ru/document/redirect/405679061/100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Основы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государственной политики по сохранению и укреплению традиционных российских духовно-нравственных ценностей, утвержденные </w:t>
      </w:r>
      <w:hyperlink r:id="rId19" w:tooltip="http://garant.cap.ru/document/redirect/405679061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Президента Российской Федерации от 9 ноября 2022 г. № 809;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/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0" w:tooltip="http://garant.cap.ru/document/redirect/406643869/100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Концепция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внешней политики Российской Федерации, утвержденная </w:t>
      </w:r>
      <w:hyperlink r:id="rId21" w:tooltip="http://garant.cap.ru/document/redirect/406643869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Президента Российской Федерации от 31 марта 2023 г. № 229;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hyperlink r:id="rId22" w:tooltip="http://garant.cap.ru/document/redirect/70727660/100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Концепция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государственной семейной политики в Российской Федерации на период до 2025 года, утвержденная </w:t>
      </w:r>
      <w:hyperlink r:id="rId23" w:tooltip="http://garant.cap.ru/document/redirect/70727660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распоряжением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Правительства Российской Федерации от 25 августа 2014 г. № 1618-р;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" w:tooltip="http://garant.cap.ru/document/redirect/71057260/1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Стратегия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развития воспитания в Российской Федерации на период до 2025 года, утвержденная </w:t>
      </w:r>
      <w:hyperlink r:id="rId25" w:tooltip="http://garant.cap.ru/document/redirect/71057260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распоряжением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Правительства Российской Федерации от 29 мая 2015 г. № 996-р;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6" w:tooltip="http://garant.cap.ru/document/redirect/74484683/100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Стратегия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государственной политики Российской Федерации в отношении российского казачества на 2021-2030 годы, утвержденная </w:t>
      </w:r>
      <w:hyperlink r:id="rId27" w:tooltip="http://garant.cap.ru/document/redirect/74484683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Указом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Президента Российской Федерации от 9 августа 2020 г. № 505,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" w:tooltip="http://garant.cap.ru/document/redirect/403809682/100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Концепция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развития дополнительного образования детей до 2030 года, утвержденная </w:t>
      </w:r>
      <w:hyperlink r:id="rId29" w:tooltip="http://garant.cap.ru/document/redirect/403809682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распоряжением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Правительства Российской Федерации от 31 марта 2022 г. № 678-р;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" w:tooltip="http://garant.cap.ru/document/redirect/406840607/100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Концепция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информационной безопасности детей в Российской Федерации, утвержденная </w:t>
      </w:r>
      <w:hyperlink r:id="rId31" w:tooltip="http://garant.cap.ru/document/redirect/406840607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распоряжением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Правительства Российской Федерации от 28 апреля 2023 г. № 1105-р;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Times New Roman" w:hAnsi="Times New Roman" w:eastAsia="Times New Roman"/>
          <w:color w:val="000000"/>
          <w:sz w:val="28"/>
          <w:szCs w:val="28"/>
        </w:rPr>
        <w:tab/>
        <w:t xml:space="preserve">Стратегия реализации молодежной политики в Российской Федерации на период до 2030 года, утвержденная распоряжением Правительства Российской Федерации от 17 августа 2024 г. № 2233-р;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2" w:tooltip="http://garant.cap.ru/document/redirect/72174066/100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Стратегия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пространственного развития Российской Федерации на период до 2030 года с прогнозом до 2036 года, утвержденная </w:t>
      </w:r>
      <w:hyperlink r:id="rId33" w:tooltip="http://garant.cap.ru/document/redirect/72174066/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распоряжением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Правительства Российской Федерации от 28 декабря 2024 г. № 4146-р;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Закон Чувашской Республики от 27  мая 1993 г. «О культуре»;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Закон Чувашской Республики от 15 июня 1998 г. № 11 «О библиотечном деле»;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Закон Чувашской Республики от 25 ноября 2003 г. № 36 «О языках в Чувашской Республике»;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Закон Чувашской Республики от 12 апреля 2005 г. № 10 «Об объектах культурного наследия (памятниках истории и культуры) в Чувашской Республике»;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Закон Чувашской Республики от 30 марта 2006 г. № 3 «Об архивном деле в Чувашской Республике»;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Закон Чувашской Республики от 26 ноября 2020 г. № 102 «О Стратегии со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циально-экономического развития Чувашской Республики до 2035 года»;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Указ Главы Чувашской Республики от 30 декабря 2014 г. № 180 «О государственной поддержке культуры и науки в Чувашской Республике»;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ежегодные послания Главы Чувашской Республики Государственному Совету Чувашской Республики;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постановление Кабинета Министров Чувашской Республики от 28 мая 1999 г. № 144 «О мерах государственной поддержки театрального искусства в Чувашской Республике»;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постановление Кабинета Министров Чувашской Республики от 26 октября 2018 г. № 434 «О государственной программе Чувашской Республики «Развитие культуры»;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постановление Кабинета Министров Чувашской Республики от 31 марта 2025 г. № 171 «О мероприятиях по предоставлению единовременных 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расположенные на территории Чувашской Республики»; 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распоряже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ние Кабинета Министров Чувашской Республики от 28 марта 2022 г. № 290-р «Об утверждении Плана мероприятий по реализации в 2022 - 2025 годах в Чувашской Республике Стратегии государственной национальной политики Российской Федерации на период до 2025 года»;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распоряжение Кабинета Министр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ов Чувашской Республики от 6 августа 2024 г. № 814-р «Об утверждении Плана мероприятий по реализации в 2024 - 2026 годах в Чувашской Республике Стратегии государственной политики Российской Федерации в отношении российского казачества на 2021 - 2030 годы»;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распоряжение Кабинета Министров Чувашской Республики от 17 сентября 2024 г. № 988-р «Об утверждении Плана меропр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иятий по реализации в 2024 - 2026 годах в Чувашской Республике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809».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 разработке  Стратегии также  учтены положения и целевые показатели государственной программы Чувашской Республики «Развитие культуры», регионального проекта «Инфраструктура культуры и семейные ценности», входящего в 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ациональный проект «Семья», мероприятия и проекты, включенные в Комплексную программу социально-экономического развития Чувашской Республики на 2025-2030 годы (одобрена распоряжением Кабинета Министров Чувашской Республики от 28 декабря 2024 г. № 1445-р).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Государственная 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ультурная политика призвана обеспечить приоритетное культурное и гуманитарное развитие в качестве основы экономического процветания, укрепление общероссийской гражданской идентичности, единства и сплоченности российского общества, повышение качества жизни.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Стратегия является документом стратегического планирования, разработанным в рамках целеполагания по межотраслевому принципу.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Такой подход базируется на положениях </w:t>
      </w:r>
      <w:hyperlink r:id="rId34" w:tooltip="http://garant.cap.ru/document/redirect/70828330/1000" w:history="1">
        <w:r>
          <w:rPr>
            <w:rFonts w:ascii="Times New Roman" w:hAnsi="Times New Roman" w:eastAsia="Times New Roman"/>
            <w:color w:val="000000"/>
            <w:sz w:val="28"/>
            <w:szCs w:val="28"/>
          </w:rPr>
          <w:t xml:space="preserve">Основ</w:t>
        </w:r>
      </w:hyperlink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государственной культурной политики, согласно которым: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государство впервые возводит культуру в ранг национальных приоритетов и признает ее важнейшим фактором роста качества жизни и гармонизации общественных отношений, залогом динамичного социально-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экономического развития, гарантом сохранения единого культурного пространства и территориальной целостности России;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государственная культурная политика понимается как широкое межотраслевое явление, охватывающее все виды культурной деятельности, социальные и гуманитарные науки, образование, межнациональные отноше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ния, вопросы поддержки и продвижения российской культуры за рубежом, международного гуманитарного и культурного сотрудничества, воспитания и самовоспитания граждан, просвещения, развития детского и молодежного движения, информационного пространства страны.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Реализация Стратегии будет осуществляться в соответствии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с целями,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обозначенными в Указе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а именно «Реализация потенциала каждого человека, развитие его талантов, воспитание патриотичной и социально ответственной личности»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через: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сохранение единого культурного пространства на основе традиционных российских духовно-нравственных ценностей;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обеспечение межведомственного и межрегионального взаимодействия в реализации государственной культурной политики.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Для достижения поставленной цели  необходимо решение следующих задач: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обеспечение максимальной доступности для широких слоев населения лучших образцов культуры и искусства;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стимулирование повышения качества и разнообразия культурной жизни в малых, удаленных, сельских населенных пунктах, реализация программ поддержки их культурной инфраструктуры;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c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повышение управленческой компетентности руководителей и специалистов муниципальных учреждений культуры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/>
          <w:b/>
          <w:color w:val="c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c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цифровая трансформация сферы культуры и обеспечение инновационного развития сферы культуры;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реализация комплекса взаимосвязанных мер, направленных на сохранение культурного и исторического наследия;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содействие развитию креативных (творческих) индустрий в сфере культуры;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модернизация материально-технической базы учреждений культуры;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повышение социального статуса работников культуры;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совершенствование системы подготовки кадров в сфере культуры;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укрепление единства российской нации, формирование общероссийской гражданской идентичности и этнокультурное развитие народов России;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обеспечение межнационального и межрелигиозного мира и согласия, гармонизации межнациональных (межэтнических) отношений.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действующих социально-экономических, нормативно-правовых условиях реализация Стратегии планируется по базовому сценарию.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975"/>
        <w:ind w:left="0"/>
        <w:jc w:val="center"/>
        <w:spacing w:line="240" w:lineRule="auto"/>
        <w:rPr>
          <w:rFonts w:ascii="Times New Roman" w:hAnsi="Times New Roman" w:eastAsia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II. Современное состояние, основные проблемы,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75"/>
        <w:ind w:left="0"/>
        <w:jc w:val="center"/>
        <w:spacing w:line="240" w:lineRule="auto"/>
        <w:rPr>
          <w:rFonts w:ascii="Times New Roman" w:hAnsi="Times New Roman" w:eastAsia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перспективы развития  культуры и государственной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75"/>
        <w:ind w:left="0"/>
        <w:jc w:val="center"/>
        <w:spacing w:line="240" w:lineRule="auto"/>
        <w:rPr>
          <w:rFonts w:ascii="Times New Roman" w:hAnsi="Times New Roman" w:eastAsia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культурной политики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Как отмечается в Основах государственной культурной политики, обеспечение дальнейшего развития страны как социального государства возм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ожно только при условии планомерных и последовательных инвестиций в человека, в сохранение и укрепление общероссийской гражданской идентичности на основе традиционных российских духовно-нравственных ценностей, тесного взаимодействия государства и общества.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целях достижения национальных целей развития Российской Федерации на системной, комплексной основе  в республике разработаны и действуют государственная программа в сфере культуры, ведомственные и региональные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программы и проекты, направленные на обеспечение всех видов культурной деятельности, развитие культуры, укрепление единства российской нации, гармонизацию межнациональных отношений,  воспитание и самовоспитание граждан, патриотическое воспитание молодежи.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Отрасль культуры Чувашской Республики представлена многопрофильной сетью учреждений культуры и искусства.  По состоянию на 1 мая 2025 г. функционирует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1258 учреждений с учетом филиалов, в том числе 24 государственных, 1234 муниципальных, что составляет 98 % от общего количества учреждений.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сфере культуры трудятся более 4,5 тыс. работников, в том числе 1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,7 тыс. человек – в государственных учреждениях и 2,8 тыс. человек – в муниципальных. Средняя заработная плата работников отрасли к уровню 2012 г. увеличилась в 4,8 раза и за 2024 год составила 45589,2 рублей, в первом квартале 2025 года  - 51980,9 рублей.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Объем финансирования за пять лет отрасли культуры вырос на 23,6 процентов и в 2024 году составил 4,7 млрд. рублей.  В общем объеме консолидированного бюджета Чувашской Республики удельный вес расходов отрасли культуры составляет 3,6%.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Вызовами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отрасли  культуры Чувашской Республики в настоящее время являются: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отсутствие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устойчивого интереса у представителей бизнеса к финансовому участию в развитии сферы культуры и реализации конкретных культурных проектов, недостаточный уровень развития меценатства и спонсорства, других форм негосударственных инвестиций в сферу культуры;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недостаточный уровень доступности культурных форм досуга для жителей сельской местности и небольших городских поселений;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низкий уровень цифровой зрелости значительного количества учреждений культуры;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нед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остаток квалифицированных кадров в сфере культуры, а также специалистов для проведения реставрационных работ на объектах культурного наследия, в фондах музеев и библиотек, наблюдается тенденция старения кадров, низкая доля работников с высшим образованием;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сокращение численности работников в организациях культуры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/>
          <w:i/>
          <w:iCs/>
          <w:color w:val="000000" w:themeColor="text1"/>
          <w:sz w:val="28"/>
          <w:szCs w:val="28"/>
          <w:highlight w:val="none"/>
        </w:rPr>
        <w:t xml:space="preserve">(на 23 процента по сравнению с 2013 годом)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недостаточная эффективность межведомственной координации и взаимодействия органов власти всех уровней по вопросам реализации государственной культурной политики.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Угрозой,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с которой столкнулось общество, является  утрата традиционных духовно-нравственных ориентиров и устойчивых моральных принципов. Отмечается, что все более разрушительному воздействию подвергаются базовые моральные и культурные нормы, ре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лигиозные устои, институт брака, семейные ценности. Пересмотр базовых норм морали, психологическое манипулирование наносят непоправимый ущерб нравственному здоровью человека, поощряют деструктивное поведение, формируют условия для саморазрушения общества.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связи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с этим ключевыми факторами формирования духовно-нравственного фундамента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являются вопро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сы защиты традиционных российских духовно-нравственных ценностей, культуры и исторической памяти, соблюдения конституционных прав граждан в сфере культуры, в том числе права на доступ к культурным ценностям, сохранения исторического и культурного наследия.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/>
          <w:b/>
          <w:color w:val="000000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Строительство и модернизация объектов культуры</w:t>
      </w:r>
      <w:r>
        <w:rPr>
          <w:rFonts w:ascii="Times New Roman" w:hAnsi="Times New Roman" w:eastAsia="Times New Roman"/>
          <w:b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/>
          <w:b/>
          <w:color w:val="000000"/>
          <w:sz w:val="26"/>
          <w:szCs w:val="26"/>
          <w14:ligatures w14:val="none"/>
        </w:rPr>
      </w:r>
    </w:p>
    <w:p>
      <w:pPr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республике функционирует 24 государственных и 1234 муниципальных учреждений культуры с учетом филиалов.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Основную часть муниципальной сети (91,1%)  составляют культурно-досуговые учреждения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(далее – клубные учреждения, ДК)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- 655 единиц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библиотеки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484 единицы.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Наибольшее количество 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лубных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учреждений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функционируют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 Чебоксарском (64 ед.),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Канашском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(59 ед.),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Моргаушском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(42 ед.), Батыревском (47 ед.), Цивильском (41 ед.),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Вурнарском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(38 ед.), Комсомольском (33 ед.),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Яльчикском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(31 ед.) муниципальных округах.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Наибольшее количество библиотек в Чебоксарском (40 ед.),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Канашском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(36 ед.),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Моргаушском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(31 ед.) Батыревском (29 ед.),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Вурнарском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(29 ед.), 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Яльчикском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(23 ед.) муниципальных округах.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90% библиотек находятся в зданиях клубных учреждениях или многоквартирных домах, только 49 библиотек находятся в отдельно стоящих зданиях, из них 3 здания – требуют капитального ремонта, 2 – в аварийном состоянии.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опорных населенных пунктах федерального уровня находятся 17 ДК, 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т.ч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- 14 РДК: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Аликовский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Батыревский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Вурнарский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Ибресинский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Козловский, Комсомольский, Красноармейский,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Красночетайский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Порецкий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Урмарский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Шемуршинский,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Ядринский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Яльчикский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Янтиковский;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- 3 ГДК: Алатырь, Канаш, Шумерля.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Завершен капитальный ремонт 3 РДК: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Красночетайский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(2020-2023 гг.),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Яльчикский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(2020 г.),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Янтиковский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(2019-2020 гг.) округа.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период с 2019 по 2024 гг. проведен частичный капитальный ремонт 13 ДК: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Аликовский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Батыревский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Вурнарский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Ибресинский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Козловский, Красноармейский,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Порецкий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Урмарский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Шемуршинский,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Ядринский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округа, гг. Алатырь, Канаш, Шумерля.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Капитальный ремонт не проводился в ДК Комсомольского муниципального округа.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Необходимо завершить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капитальн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ый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ремонт 12 ДК: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Аликовский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Батыревский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(объект ремонтируется в 2025 г. за счет средств федерального и республиканского бюджетов в рамках государственной программы Российской Федерации «Комплексное развитие сельских территорий»)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Вурнарский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Ибресинский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Козловский,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Порецкий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(объект ремонтируется в 2025-2026 гг. за счет средств федерального и республиканского бюджетов в рамках НП «Семья»)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Урмарский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Шемуршинский,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Ядринский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округа и гг. Алатырь, Канаш, Шумерля.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Требуется строительство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РДК в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 Комсомольском, Красноармейском муниципальных округах: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РДК Комсомольского МО располагается в здании церкви, построенной в 1837 году. В 1947 году к церкви возведен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пристрой и перепрофилирован в районный дом культуры.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Объе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кт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вкл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ючен в Комплексную программу социально-экономического развития Чувашской Республики до 2030 года;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РДК Красноармейского МО располагается в здани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построенном в 1956 году хозяйственным способом. На 1 этаже расположен Дом культуры, на 2 этаже – Центр диагностики и консультирования отдела образования и молодежной политики администрации Красноармейского муниципального округа и Детский дом творчества.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Объект планируется построить за счет средств федерального и республиканского бюджетов в рамках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Ф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едерации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«Комплексное развитие сельских территорий»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 2025-2027 гг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опорных населенных пунктах Чебоксарской агломерации находятся 10 ДК: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Мариинско-Посадский,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Моргаушский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Цивильский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Чебоксарский округа, ДК «Химик» г. Новочебоксарск, ДК «Ровесник», ДК «Южный», ДК «Акация», ДК «Салют», МК «Победа» г. Чебоксары.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Завершен капитальный ремонт зданий 2 ДК: Мариинско-Посадский округ (2019-2021 гг.), ДК «Ровесник» г. Чебоксары (2021 г.).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период с 2019 по 2024 гг. проведен капитальный ремонт 6 ДК: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Моргаушский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Цивильский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Чебоксарский округа, ДК «Химик»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г. Новочебоксарск, ДК «Акация», ДК «Салют» г. Чебоксары, МК «Победа»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г. Чебоксары (фасад).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Капитальный ремонт не проводился в ДК «Южный»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г. Чебоксары.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Необходимо завершить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капитальн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ый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ремонт 7 ДК: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Цивильский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Чебоксарский округа, ДК «Химик» г. Новочебоксарск, ДК «Южный», ДК «Акация», ДК «Салют», МК «Победа» г. Чебоксары.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Требуется строительство Ц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ентра культурного развития</w:t>
      </w:r>
      <w:r>
        <w:rPr>
          <w:rFonts w:ascii="Times New Roman" w:hAnsi="Times New Roman" w:eastAsia="Times New Roman"/>
          <w:iCs/>
          <w:color w:val="000000"/>
          <w:sz w:val="28"/>
          <w:szCs w:val="28"/>
        </w:rPr>
        <w:t xml:space="preserve"> 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Моргаушском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муниципальном округе.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Здание Моргаушского РДК 1955 года постройки, кирпичное, двухэтажное. На первом этаже расположен Дом культуры, на втором – центральная библиотека. Зрительный зал на 170 мест, помещения для кружковых занятий не имеются.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Объе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кт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вкл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ючен в Комплексную программу социально-экономического развития Чувашской Республики до 2030 года.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Требуется строительство Центра культурного развития в Заволжье Чебоксарского  городского округа. Объе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кт вкл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ючен в Комплексную программу социально-экономического развития Чувашской Республики до 2030 года.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Распоряжением Кабинета Министров Чувашской Республики от 14 апреля 2023 г. № 374-р утвержден перечень региональных опорных пунктов Чувашской Республики.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опорных населенных пунктах регионального уровня находятся 5 ДК: Канашский, Мариинско-Посадский,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Моргаушский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Цивильский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Чебоксарский округа.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2019 году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введен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 эксплуатацию РДК с. Шихазаны Канашского МО. Завершен капитальный ремонт здания РДК и туризма Мариинско-Посадского муниципального округа (2019-2021 гг.).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Строительство культурно-досуговых учреждений в Чувашской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Республике ведется в рамках ведомственного проекта «Строительство (реконструкция) и модернизация гос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ударственных и муниципальных учреждений в сфере культуры, искусства и архивного дела» государственной программы Чувашской Республики «Развитие культуры» по итогам конкурсного отбора. Ежегодно строится не менее 5 домов культуры и ремонтируется не  менее 10.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2020-2024 гг. на укрепление материально-технической базы учреждений  культуры направлены средства в объеме 4,3 млрд. рублей, в том числе в 2024 году - 1,2 млрд. руб.  Отремонтированы и оснащены 452 объекта (здания) мун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иципальных учреждений культурно-досугового типа, библиотек, музеев, архивов, детских школ искусств, построены 35 Домов культуры, Центр культурного развития г. Цивильск. В 2021 г. после 5-летней реконструкции открылась Чувашская государственная филармония.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рамках национального проекта «Культура» в Чувашии модернизировано 28 библиотек, в том числе 8 библиотек за счет средств республиканского бюджета Чувашской Республики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рамках Комплексной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программы социально-экономического развития Чувашской Республики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до 2030 г. планируется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модерниз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ировать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80 библиотек.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Приобретаются многофункциональные культурные центры - автоклубы. В настоящее время в 14 муниципальных образованиях функционируют автоклубы (в том числе 9 – приобретены за счет регионального бюджета), еще 7 автоклубов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буд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 приобретен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 счет средств ре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спубликанского бюджета Чувашской Республики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 2025 году.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Основн</w:t>
      </w:r>
      <w:r>
        <w:rPr>
          <w:rFonts w:ascii="Times New Roman" w:hAnsi="Times New Roman"/>
          <w:b/>
          <w:bCs/>
          <w:sz w:val="28"/>
          <w:szCs w:val="28"/>
        </w:rPr>
        <w:t xml:space="preserve">ая проблема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недостаточные темпы модернизации и развития инфраструктуры культуры, а также недостаточная ресурсная обеспеченность учреждений и организаций культуры, в том числе современным технологическим оборудованием.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направления: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sz w:val="28"/>
          <w:szCs w:val="28"/>
        </w:rPr>
        <w:t xml:space="preserve">подготовка качественной проектно-сметной документации и получение положительного заключения государственной экспертизы;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sz w:val="28"/>
          <w:szCs w:val="28"/>
        </w:rPr>
        <w:t xml:space="preserve">своевременное проведение конкурентных процедур;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sz w:val="28"/>
          <w:szCs w:val="28"/>
        </w:rPr>
        <w:t xml:space="preserve">участие в конкурсных отборах национального проекта «Семья»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sz w:val="28"/>
          <w:szCs w:val="28"/>
        </w:rPr>
        <w:t xml:space="preserve">реализация инвестиционных и инфраструктурных проектов Комплексной программы социально-экономического развития Чувашской Республики до 2030 года: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инвестиционного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мегапроекта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«Чувашия космическая»  («Реконструкция музея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им.А.Г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Николаева по адресу: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Чувашская Республика, Мариинско-Посадский район,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оршелы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») и создание на его базе Межрегионального центра по патриотическому и духовно-нравственному воспитанию молодежи;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инфраструктурного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мегапроекта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«Парк «Рубежи Победы»;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 мегапроекта «Дом культуры. Новый формат»;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76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- мегапроекта «Библиотеки Чувашии. Перезагрузка».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76"/>
        <w:ind w:left="0" w:right="0" w:firstLine="709"/>
        <w:jc w:val="both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Ожидаемые результаты к 2030 году: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доля зданий учреждений культуры, находящихся в удовлетворительном состоянии, - 92,3 процента  в общем количестве зданий таких учреждений.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Образование в сфере культуры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Подготовка квалифицированных кадров для учреждений культуры, закрепление выпускников в профессии являются одними из первоочередных задач.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трех государственных образовательных организациях сферы культуры и искусства обучается 1226 человек, из них 552 человека – по программам высшего образования, 674 человека – по программам среднего профессионального образования.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Выявление одаренных детей, создание условий для развития их потенциала – приоритетные направления в деятельности детских школ искусств. Одаренные дети республики ежегодно становятся лауреатами общероссийских конкурсов, проводимых Минкультуры России.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 начало 2024-2025 учебного года в детских школах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искусств обучалось 20990 человек. Охват детей школьного возраста художественным образованием составляет 14,1%. По данным Минкультуры России за 2023 год Чувашская Республика занимает 4 место в ПФО по охвату детского населения работой детских школ искусств.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Высокий охват детей художественным образованием 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Алатырском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Аликовском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Ибресинском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Козловском, Красноармейском муниципальных округах (более 20%). В Батыревском,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Моргаушском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Чебоксарском,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Шумерлинском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Янтиковском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муниципальных округах, городе Чебоксары процент охвата детей остается ниже среднереспубликанского значения – 14,1 %.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2024 году в число победителей общероссийского конкурса «Молодые дарования России» вошли 19 представителей Чувашской Республики.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7 преподавателей детских школ искусств региона стали победителями конкурса на присуждение премии лучшим преподавателям в области музыкального искусства, проведенного Минкультуры России. Им выплачена денежная премия по 500,0 тыс. рублей.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Победителями общероссийского конкурса «50 лучши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х детских школ искусств» в 2016 году признана Детская школа искусств № 1 г. Шумерля, в 2017 году – Чебоксарская детская музыкальная школа № 4 им. Ходяшевых, в 2018 году – Детская музыкальная школа г. Канаш и Детская художественная школа г. Новочебоксарска.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число победителей Общероссийского конкурса «Лучший преподаватель детской школы искусств» вошли 5 преподавателей.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 время реализации национального проекта «Культура» (2019-2024 гг.) 11 детских школ искусств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Чувашской Республики и Чебоксарское музыкальное училище им. Ф.П. Павлова оснащены музыкальными инструментами, оборудованием и учебными материалами. В 3 детских школах искусств создан виртуальный концертный зал. В 11 учреждениях проведен капитальный ремонт.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ра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мках федерального проекта «Придумано в России» на базе Чувашского государственного института культуры и искусств открыта Школа креативных индустрий. Реализация проекта позволит предоставить дополнительные возможности для творческой самореализации молодежи.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 базе Центров непрерывного образования и повышения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квалификации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творческих и управленческих кадров в сфере культуры, созданных на базе федеральных творческих вузов, в 2019-2024 гг. квалификацию повысил 1641 специалист учреждений культуры и искусства.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проблемы: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недооценка роли и значения детских школ иску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сств в с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истеме художественного образования;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недостаточная работа по проведению ранней профессиональной ориентации в начальном звене системы образования;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старение, дефицит и недостаточный уровень квалификации педагогических работников, не позволяющие осуществлять развитие системы образования на основе внедрения инновационных форм и методов обучения.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направления развития: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сохранение трехступенчатой системы художественного образования «школа – училище – вуз» как уникальной системы воспроизводства профессиональных кадров для сферы культуры и искусства;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внедрение современных механизмов подготовки кадров для обеспечения учреждений культуры и искусства квалифицированными специалистами, в том числе развития системы дополнительного образования;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реализация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программы «Земский работник культуры» в Чувашской Республике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выявление, сопровождение и поддержка одаренных детей, их творческой самореализации, совершенствование системы поддержки детского и юношеского творчества;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укрепление материально-технической базы образовательных учреждений сферы культуры и искусства, в том числе детских школ искусств, обеспечение их необходимыми музыкальными инструментами, оборудованием, материалами.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</w:rPr>
        <w:t xml:space="preserve">Ожидаемые результаты к 2030 году: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увеличение количества обучающихся в образовательных учреждениях сферы культуры и искусства, в том числе детских школах искусств, на 5%;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разработка и утверждение Перечня олимпиад и иных конкурсных мероприятий в сфере культуры и искусства;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создание базы данных одаренных детей;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увеличение доли образовательных организаций, оснащенных новыми музыкальными инструментами, оборудованием и материалами;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организация конкурсов профессионального мастерства среди преподавателей.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Профессиональное искусство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Большую роль в развитии культуры Чувашской Республики, ее интеграции в культуру других народов Российской Федерации и мировую культуру играют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театрально-концертные учреждения. В среднем ежегодно государственными театрально-концертными учреждениями проводится около 2,7 тыс. мероприятий, которые посещают свыше 770,0 тыс. человек. По итогам 2024 года рост посещаемости к уровню 2019 года составил 140%.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Систематически обновляет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ся текущий репертуар учреждений. Ежегодно выпускается свыше 60 новых театральных постановок и концертных программ. Для осуществления постановок приглашаются ведущие театральные мастера из других регионов страны, в том числе из гг. Москва и Санкт-Петербург.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Театрально-концертными учреждениями ежегодно организовывается около 1,0 тыс. выездных мероприятий на территории Чуваш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ской Республики. Ярким событием 2024 года стал проект «Культурная среда» с участием 12 государственных учреждений культуры. Зрителям муниципальных образований предложены спектакли, концертные программы, направленные в помощь учебному процессу обучающихся.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2024 году в рамках проекта состоялось 127 мероприятий, их посетило более 26,0 тыс. человек. Около 90% билетов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проданы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по Пушкинской карте. В 2025 году проведено 141 мероприятие, их посетило 25,3 тыс. человек.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Продано более 22,8  тыс. билетов, в том числе 16 тыс. по программе «Пушкинская карта».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Профессиональному росту творческих коллективов республики способствуют организация гастрольной деятельности и обмен творческим опытом с ведущими исполнителями, театрально-концертными коллективами страны, ближнего и дальнего зарубежья.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 последний год профессиональными коллективами организова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ны гастроли в городе Москва, республиках Татарстан, Марий Эл, Мордовия, Удмуртия, Хакасия, Коми, Самарской, Свердловской, Саратовской, Нижегородской, Новгородской, Иркутской, Владимирской, Кировской, Ульяновской, Орловской областях, Пермском крае и других.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Театры и концертные учреждения являются активными участниками федеральных программ «Большие гастроли» и «Мы – Россия».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Особое внимание уделяется формированию и поддержке системы фестивалей, позволяющих жителям республики знакомиться с до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стижениями отечественного и зарубежного профессионального искусства. Важными событиями в театральном искусстве Чувашии стали проводимые ежегодно международный оперный фестиваль им. М.Д. Михайлова, международный балетный фестиваль, международный фестиваль 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еатров кукол «Карусель сказок», международный особенный фестиваль для особенных зрителей «Одинаковыми быть нам необязательно», международный фестиваль «Созвездие земляков», межрегиональный фестиваль национальных театров юного зрителя и молодежных театров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СеспельФЕСТ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». В 2023 году в республике впервые прошел фестиваль национальных театров имени Веры Кузьминой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Чĕкеç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». Проведение фестиваля закреплено Указом Главы Чувашии и в дальнейшем фестиваль будет проходить 1 раз в 2 года.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Другому выдающемуся земляку, народному артисту СССР будет посвящен новый фестиваль – межрегиональный театральный фестиваль им. Н.Д.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Мордвинова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«Волжская Премьера». Фестиваль также будет проводиться 1 раз в 2 года.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Наряду с бюджетной поддержкой 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трасли в Чувашской Республике активно развивается институт грантов Главы Чувашской Республики. Увеличены количество и размер ежегодных грантов Главы Чувашской Республики для реализации творческих проектов профессиональных коллективов Чувашской Республики.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 1 января 2022 г. присуждаются 6 грантов: два гранта – по 5,0 млн. рублей, два гранта – по 3,0 млн. рублей, два гранта – по 1,0 млн. рублей.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Общая сумма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грантовой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поддержки составляет 18,0 млн. рублей. Благодаря грантам творческие коллективы сумели значительно расширить репертуар, а также зрительскую аудиторию.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целях поддержки и стимулирования творческой деятельности в 2022 г. проведен межрегиональный конкурс пьес на чувашском языке, в 2023 г. – республиканский конкурс музыкальных произведений.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Чувашской Республике действует система мер поощрения, направленная на стимулирование творчества, поднятие престижа творческих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профессий, поддержку талантливой молодежи, ведущих деятелей культуры и искусства, ветеранов сцены. Размер ежемесячных пожизненных государственных пособий за особые заслуги в развитии культуры и наук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и, государственных стипендий для выдающихся деятелей науки, литературы и искусства, назначаемых сроком на 1 год, с 1 апреля 2025 г. составляет 7200 рублей ежемесячно. Количество получателей пособий составляет 30 человек, получателей стипендий – 15 человек.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Реализуется федеральная программа «Пушкинская карта», направленная на социальную поддержку молодежи в возрасте от 14 до 22 лет, в целях повышения доступности организаций культуры.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Чувашская Республика занимает 1 место среди регионов Российской Федерации по охвату детей и молодежи, вовлеченных в программу «Пушкинская кар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та». Все государственные и муниципальные учреждения культуры и искусства являются активными участниками проекта «Пушкинская карта». В настоящее время в реестре участников программы зарегистрировано 98 учреждений культуры, в том числе 6 частных учреждений.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Государственные театры и концертные учреждения Чувашской Республики становятс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 победителями и лауреатами различных фестивалей 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конкурсов. Так, спектакль Чувашского государственного театра кукол «Король Лир» У.Шекспира стал лауреатом Российской национальной театральной премии «Золотая маска» в номинации «Лучшая работа художника». 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Основные проблемы: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несоответствие материально-технической базы государственных театрально-концертных учреждений Чувашской Республики современным требованиям сце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нического искусства, требованиям к реализации новых постановок, внедрению инновационных форм работы,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цифровизации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их деятельности;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недостаточное количество современных национальных драматических и музыкальных произведений, в том числе для детей и юношества;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кадровая потребность государственных театрально-концертных учреждений Чувашской Республики в специалистах узкой направленности (художник по свету, звукооператор и др.)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Основные направления развития: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реализация проектов, направленных на  с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охранение и укрепление традиционных российских духовно-нравственных ценностей;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сохранение и развитие традиций отечественного профессионального искусства, национального драматического и музыкального искусства;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укрепление материально-технической базы государственных театрально-концертных учреждений Чувашской Республики;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расширение разнообразия театрального предложения, в том числе для детей и юношества;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расширение гастрольной деятельности и передвижных форм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работы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государственных театрально-концертных организаций, направленных на обеспечение равных возможностей доступа жителей малых городов и сел республики к культурным благам;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расширение практики приглашения ведущих театральных мастеров (режиссеров, художников-постановщиков, балетмейстеров и других театральных работников) для осуществления новых постановок в государственных театрах;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реализация международных, всероссийских и республиканских творческих проектов в области музыкального и театрального искусства;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сти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мулирование деятельности драматургов и композиторов на создание национальных произведений;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поддержка талантливой молодежи, ведущих деятелей культуры и искусства.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Ожидаемые результаты к 2030 году: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наличие в репертуаре государственных театрально-концертных учреждений спектаклей и концертных программ по произведениям современных нац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иональных драматургов и композиторов;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увеличение спектаклей для детей и подростков;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увеличение количества зрителей на мероприятиях государственных театрально-концертных учреждений на 10%;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организация и проведение выездных мероприятий и гастролей на территории Чувашской Республики и в субъектах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jc w:val="both"/>
        <w:spacing w:line="288" w:lineRule="atLeas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ind w:firstLine="709"/>
        <w:jc w:val="center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 Библиотечно-информационное обслуживание населения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Библиотечное обслуживание населения Чувашской Республики осуществляют 3 государственные и 484 муниципальных общедоступных библиотеки, из них 90% расположены в сельской местности.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Услугами библиотек пользуется более поло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вины населения республики, в том числе около 80% сельских жителей. Обеспеченность муниципальными библиотеками составляет 96,8%. Муниципальные библиотеки объединены в 23 централизованные библиотечные системы и являются самостоятельными юридическими лицами.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Сформированная сеть библиотек республики демонстрирует востребованность в обществе, со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здавая условия для воспитания гармонично развитой и социально ответственной личности на основе традиционных российских духовно-нравственных ценностей, исторических и национально-культурных традиций. Для популяризации книги и чтения, привлечения новых читат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елей активно внедряются современные информационные и электронные технологии: увеличивается количество автоматизированных рабочих мест для читателей, создаются собственные электронные базы данных, пользователям предоставляются новые виды библиотечных услуг.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 последние 5 лет в сфере библиотечного дела: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создано 28 модельных муниципальных библиотек, их посещаемость выросла в среднем на 19%;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рост до 45% числа муниципальных библиотек, материально-техническая база которых отвечает требованиям Модельного стандарта деятельности общедоступной библиотеки;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приобретено около 900 тысяч книг на общую сумму 269,5 млн. рублей, что почти в 5 раз больше, чем 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предыдущие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5 лет (2015-2019 гг.);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доля новых изданий для детей и подростков достигла 36%;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обновлен на 24% компьютерный парк, приобретены 434 ед. компьютерной техники.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Все библиотеки республике компьютеризированы, имеют доступ к информационно-телекоммуникационной сети «Интернет» – 99,8%. Статистика фиксирует устойчивую положительную динамику посещений библиотечных сайтов 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госпабликов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 социальных сетях. Электронные каталоги библиотек доступны через «Интернет», в них полностью отражен библиотечный фонд. Государственные библиотеки обеспечивают доступ к национальным информационным ресурсам, формируя национальную э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лектронную библиотеку, сводный каталог библиотек Чувашии, порталы «Цифровая библиотека чувашского наследия», «Культурное наследие Чувашии», «Литературная палитра Чувашии: сто книг для прочтения», базу данных «Писатели Чувашии – детям», коллекцию аудиокниг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для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незрячих. Объем электронной библиотеки Чу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вашской Республики составляет 51,7 тыс. ед., из них 68% представлены в открытом доступе. Осуществляется плановая оцифровка книг на чувашском языке. Доля оцифрованных изданий от общего объема национального фонда составила 20,6%, на чувашском языке – 45,3%.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Документовыдача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электронной библиотеки в 2024 год достигла 100,2 тыс. ед., ежегодный прирост составляет 15%, что свидетельствует о востребованности ее контента.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 2024 года реализуе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тся проект по созданию единой информационной системы комплексной автоматизации внутренних процессов и корпоративного взаимодействия библиотек Чувашской Республики. Функционирует портал «Библиотеки Чувашской Республики», являющийся общей точкой доступа к ре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сурсам и услугам библиотек. В единой системе автоматизированы все процессы, связанные с созданием баз данных электронного каталога, поиска, заказа и получения документов. Реализованы функции записи в любую библиотеку республики с авторизацией через портал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Госуслуг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создание личного кабинета пользователя, поиска в сводных базах данных электронного каталога. Утверждено положение о едином читательском билете.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Библиотеки Чувашии, соответствуя статусу информационного и социокультурного центра территории, ежегодно проводят порядка 50 тысяч мероприятий, ведут целенаправленную программно-проектную деятельность, что позволяет получить поддержку и благотворительных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фондов, и органов власти. Всего в 2024 г. реализовано 203 социально значимых библиотечных проекта (в 2023 г. – 186 проектов).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 базе библиотек создаются «Территории общения подростков» 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Доброцентры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создающие комфортную среду для социализации молодежи. Библиотеки успешно осваивают инновационные подходы и творческие методики для популяризации чтения.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Широко применяются сетевые проекты среди успешных примеров - семейный фестиваль финансовой грамотности «Дружи с финансами», Единый день православной книги, Единый Пушкинский день в Чувашии, День медленного созерцания искусства, 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итературно-музыкальный фестиваль «Россия, любимая мною до слёз...», республиканский день чтения «Непокоренный город», республиканская Неделя детской и юношеской книги «Время книжных открытий», республиканский онлайн фестиваль чтения для детей и юношества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Ялан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янра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чӑваш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ӗлхи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! Всегда звени, язык чувашский!» и другие.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Национальная библиотека Чувашской Республики стала призером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III Всероссийского конкурса краеведческих изданий библиотек - 2024. Победителем VII Всероссийского конкурса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ЭкоБиблиотека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года» в номинации «Великое начинается с малого» за разработку и проведение лучшего мероприятия «Экология и охрана окружающей среды» стала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Атлашевская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сельская библиотека Чебоксарского округа.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Центральная библиотека Чебоксарского округа заняла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1-е место в номинации «Укрепление межнационального мира и согласия, реализация иных мероприяти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й в сфере национальной политики на муниципальном уровне» в региональном этапе Всероссийского конкурса «Лучшая муниципальная практика». Центральная библиотека Комсомольского округа стала дипломантом Всероссийского конкурса «Золотая полка-2023» за создание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Этнобиблиотеки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содействующей укрепл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ению межнационального общения, согласия и единства народов России через чтение и погружение в народные традиции; за вклад в сохранение и развитие родных языков; за создание визуального образа с вплетением национальных мотивов в элементы дизайна библиотеки.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Проект «Гений места» в Чувашской Республике, в котором участвуют шесть модельных библиотек, демонстрирует эффективность и многогранность подхода к развитию креативных индустрий. Испо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льзование библиотек в качестве инновационных площадок позволяет не только расширять доступ к образованию в различных творческих сферах (анимация, дизайн, 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ародные промыслы, современная фотография), но и способствует сохранению культурного наследия региона.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Основные проблемы: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значительная часть фондов сельских библиотек морально и физически устарела, не соответствует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информационным потребностям современных пользователей;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несмотря на наличие подключения к сети «Интернет», низкие скорости передачи данных и устаревшие компьютеры ограничивают возможность эффективно использовать цифровые сервисы и не гарантируют полноценный доступ к современным информационным ресурсам;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отставание материально-технических условий муниципальных библиотек, в том числе в  г. Чебоксары, не позволяет полностью реализовать задачи Модельного стандарта деятельности муниципальной общедоступной библиотеки Чувашской Республики;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сокращение времени работы библиотек: в неполном режиме работает 58% от общего числа муниципальных библиотек, что ограничивает доступность для широкого круга читателей, препятствует полноценному использованию имеющихся ресурсов и пространств;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кадровый состав общедоступных библиотек стремительно стареет, ощущает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ся недостаток молодых квалифицированных специалистов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библиотечного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дела.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Основные направления развития: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bookmarkStart w:id="1" w:name="undefined"/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модернизация муниципальных общедоступных библиотек в рамках национального проекта «Семья» и реализация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мегапроекта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«Библиотеки Чувашии. Перезагрузка», включенного в Комплексную программу социально-экономичес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кого развития Чувашской Республики до 2030 года</w:t>
      </w:r>
      <w:bookmarkEnd w:id="1"/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реализация проектов, направленных на  сохранение и укрепление традиционных российских духовно-нравственных ценностей;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ежегодное обновление библиотечных фондов на материальных носителях, в том числе литературы для детей, при увеличении объемов бюджетного финансирования на федеральном, региональном и муниципальном уровнях;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внедрение системы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мониторинга комплектования библиотек на средства из федеральных субсидий на базе Национальной книжной платформы, которая позволит обеспечить полноценную статистическую отчетность не только о структуре, но и о содержании закупаемой библиотеками литературы;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автоматизация процессов библиотечного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обслуживания пользователей на основе единой многофункциональной информационно-технологической платформы портал «Библиотеки Чувашской Республики». Расширение спектра библиотечно-информационных услуг с применением цифровых технологий и электронных ресурсов;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реализация проекта «Модернизация единой информационной системы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комплексной автоматизации внутренних процессов и корпоративного взаимодействия библиотек Чувашской Республики» на базе ИРБИС128 позволит осуществлять централизованное администрирование системы, создавать консолидированные ресурсы (сводный каталог, единый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читательский билет), оптимизировать управленческие процессы библиотечных учреждений республики;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представление документального наследия Чувашской Республики в общероссийском информационном пространстве. Регулярное наполнение и поддержка в актуальном состоянии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интернет-портала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«Цифровая библиотека чувашского наследия «Наследие Чувашии». Формирование единой для каждого муниципального образования Чувашской Республики универсальной фактографической краеведческой базы данных;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устранение диспропорции в уровне обеспеченности библиотечными услугами удаленных малонаселенных деревень путем введения передвижных библиотечных пунктов на базе автоклубов;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обеспечение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новых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микрорайонов города Чебоксары  помещений для размещения библиотек;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участие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Всероссийском конкурсе среди библиотек по выявлению лучших практик;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организация обучения и повышения квалификации работников библиот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ек на базе федеральных центров непрерывного образования, Чувашского государственного института культуры и искусств и Национальной библиотеки Чувашской Республики.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Ожидаемые результаты к 2030 году: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достижение ежегодного обновления библиотечных фондов на материальных носителях - не менее 5%, при этом доля литературы для детей должна составлять не менее 40% от общего объема новых поступлений;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создание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муниципальных округах Чувашской Республики не менее 108 модельных муниципальных библиотек к 2030 году в рамках мега проекта «Библиотеки. Перезагрузка»;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увеличение доли муниципальных библиотек, материально-технические условия которых позволяют реализовать задачи федерального и регионального модельного стандарта до 60%, в том числе до 100% в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г. Чебоксары;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рост доли цифровых копий печатных изданий в общем объеме национального библиотечного фонда республики не менее 24%;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обеспечение библиотек качественным широкополосным доступом к сети Интернет со скоростью передачи данных не ниже 10 Мбит/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увеличение доли дистанционных информационно-библиотечных услуг до 10% в общем количестве услуг, оказываемых библиотеками;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повышение доли дипломированных специалистов общедоступных библиотек - не менее 65% штатного персонала;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создание детских культурно-просветительских центров на базе муниципальных библиотек.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</w:r>
    </w:p>
    <w:p>
      <w:pPr>
        <w:jc w:val="center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Музейное дело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апреля 2025 г. музейную сеть Чувашской Республики составляет 3 государственных музея и 28 муниципальных.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Музейный фонд республики насчитывает 336,9 тыс. ед. хранения предметов основного фонда, 62,3% из них составляют государственную часть Музейного фонда Российской Федерации.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государственных и муниципальных музеях, а также в музеях, не имеющих юридической самостоятельности и являющихся структурными подразделениями муниципальных учреждений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ультуры, организована работа по государственному централизованному учету музейных предметов с использованием системы АС «Музей-3» и АС «Музей ГИВЦ», а также через личные кабинеты ФГИС «Государственный каталог Музейного фонда Российской Федерации» (далее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Госкаталог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1 апреля 2025 г.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Госкаталог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внесены сведения о 282 159 предметах, что составляет 83,1% от основного фонда музеев.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Музеи республики,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предлагая яркие, нестандартные решения в области культурных практик, становятся фактором, влияющим на инвестиционную и туристическую привлекательность региона. В 2024 г. музеи посетило 664,1 тыс. человек, что составляет 133,7% по отношению к 2019 году.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Основной формой публичного представления культурного наследия является выставочная деятельность. За 2024 г. организовано и проведено 759 выставок, 44% из общего числа которых составляют обменные и передвижные выставки (334 выставок).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октябре 2023 г. на Мемориале «Строителям безмолвных рубежей» открылся музей. За год его посетили 45 тысяч человек из разных субъектов Российской Федерации. Новый музей соединил традиционные музейные форматы и современное мультимедийное </w:t>
      </w:r>
      <w:r>
        <w:rPr>
          <w:rStyle w:val="99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оборудование, что позволяет представить максимум информации о строительстве оборонительных рубежей в Чувашии,</w:t>
      </w:r>
      <w:r>
        <w:rPr>
          <w:rStyle w:val="99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ярко и эмоционально передать события военных лет.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Всероссийская акция «Вышитая карта России» стала одним из основных мероприятий Года культурного наследия народов России, объявленного Президентом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В.В.Путиным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2022 году. В 2023-2024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Вышитая карта России экспонировалась на Международной выставке-форуме «Россия», став ее главным арт-объектом и символом многообразия и единства народов нашей страны.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апреле 2025 г. открылся Музей Вышитой карты России.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В 2024 году в рамках национального проекта «Культура» в Мемориальном музее-квартире М.С. Спиридонова Чувашского государственного художественного музея были проведены ремонтные работы. Экспозиция открылась в апреле 2025 года.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Новые экспозиции открылись в Музее русской провинции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латырь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Доме-музее Н.И. Лобачевского в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г.Козловка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Ядринском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художественно-краеведческом музее,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Янтиковском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 народном краеведческом музее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bCs/>
          <w:iCs/>
          <w:sz w:val="28"/>
          <w:szCs w:val="28"/>
          <w:highlight w:val="none"/>
        </w:rPr>
        <w:t xml:space="preserve">В июне 2025 года в городе Ядрин планируется открытие </w:t>
      </w:r>
      <w:r>
        <w:rPr>
          <w:rFonts w:hint="eastAsia" w:ascii="Times New Roman" w:hAnsi="Times New Roman" w:eastAsia="Times New Roman"/>
          <w:bCs/>
          <w:iCs/>
          <w:sz w:val="28"/>
          <w:szCs w:val="28"/>
          <w:highlight w:val="none"/>
        </w:rPr>
        <w:t xml:space="preserve">Музе</w:t>
      </w:r>
      <w:r>
        <w:rPr>
          <w:rFonts w:ascii="Times New Roman" w:hAnsi="Times New Roman" w:eastAsia="Times New Roman"/>
          <w:bCs/>
          <w:iCs/>
          <w:sz w:val="28"/>
          <w:szCs w:val="28"/>
          <w:highlight w:val="none"/>
        </w:rPr>
        <w:t xml:space="preserve">я </w:t>
      </w:r>
      <w:r>
        <w:rPr>
          <w:rFonts w:hint="eastAsia" w:ascii="Times New Roman" w:hAnsi="Times New Roman" w:eastAsia="Times New Roman"/>
          <w:bCs/>
          <w:iCs/>
          <w:sz w:val="28"/>
          <w:szCs w:val="28"/>
          <w:highlight w:val="none"/>
        </w:rPr>
        <w:t xml:space="preserve">хмеля</w:t>
      </w:r>
      <w:r>
        <w:rPr>
          <w:rFonts w:ascii="Times New Roman" w:hAnsi="Times New Roman" w:eastAsia="Times New Roman"/>
          <w:bCs/>
          <w:iCs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Times New Roman"/>
          <w:bCs/>
          <w:iCs/>
          <w:sz w:val="28"/>
          <w:szCs w:val="28"/>
          <w:highlight w:val="none"/>
        </w:rPr>
        <w:t xml:space="preserve">МБУ</w:t>
      </w:r>
      <w:r>
        <w:rPr>
          <w:rFonts w:ascii="Times New Roman" w:hAnsi="Times New Roman" w:eastAsia="Times New Roman"/>
          <w:bCs/>
          <w:iCs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Times New Roman"/>
          <w:bCs/>
          <w:iCs/>
          <w:sz w:val="28"/>
          <w:szCs w:val="28"/>
          <w:highlight w:val="none"/>
        </w:rPr>
        <w:t xml:space="preserve">«Централизованная</w:t>
      </w:r>
      <w:r>
        <w:rPr>
          <w:rFonts w:ascii="Times New Roman" w:hAnsi="Times New Roman" w:eastAsia="Times New Roman"/>
          <w:bCs/>
          <w:iCs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Times New Roman"/>
          <w:bCs/>
          <w:iCs/>
          <w:sz w:val="28"/>
          <w:szCs w:val="28"/>
          <w:highlight w:val="none"/>
        </w:rPr>
        <w:t xml:space="preserve">музейная</w:t>
      </w:r>
      <w:r>
        <w:rPr>
          <w:rFonts w:ascii="Times New Roman" w:hAnsi="Times New Roman" w:eastAsia="Times New Roman"/>
          <w:bCs/>
          <w:iCs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Times New Roman"/>
          <w:bCs/>
          <w:iCs/>
          <w:sz w:val="28"/>
          <w:szCs w:val="28"/>
          <w:highlight w:val="none"/>
        </w:rPr>
        <w:t xml:space="preserve">система</w:t>
      </w:r>
      <w:r>
        <w:rPr>
          <w:rFonts w:ascii="Times New Roman" w:hAnsi="Times New Roman" w:eastAsia="Times New Roman"/>
          <w:bCs/>
          <w:iCs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Times New Roman"/>
          <w:bCs/>
          <w:iCs/>
          <w:sz w:val="28"/>
          <w:szCs w:val="28"/>
          <w:highlight w:val="none"/>
        </w:rPr>
        <w:t xml:space="preserve">Ядринского</w:t>
      </w:r>
      <w:r>
        <w:rPr>
          <w:rFonts w:ascii="Times New Roman" w:hAnsi="Times New Roman" w:eastAsia="Times New Roman"/>
          <w:bCs/>
          <w:iCs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Times New Roman"/>
          <w:bCs/>
          <w:iCs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 w:eastAsia="Times New Roman"/>
          <w:bCs/>
          <w:iCs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Times New Roman"/>
          <w:bCs/>
          <w:iCs/>
          <w:sz w:val="28"/>
          <w:szCs w:val="28"/>
          <w:highlight w:val="none"/>
        </w:rPr>
        <w:t xml:space="preserve">окру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  <w:t xml:space="preserve">га.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В 2025 году начинается масштабная реконструкция  Мемориального комплекса летчика-космонавта СССР А.Г. Николаева (2025-2027 гг.). </w:t>
      </w:r>
      <w:r>
        <w:rPr>
          <w:rFonts w:ascii="Times New Roman" w:hAnsi="Times New Roman" w:eastAsia="Times New Roman"/>
          <w:bCs/>
          <w:iCs/>
          <w:sz w:val="28"/>
          <w:szCs w:val="28"/>
        </w:rPr>
      </w:r>
      <w:r>
        <w:rPr>
          <w:rFonts w:ascii="Times New Roman" w:hAnsi="Times New Roman" w:eastAsia="Times New Roman"/>
          <w:bCs/>
          <w:iCs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Чувашская Республика с 2016 г. является участником реализац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ии федерального проекта «Живые уроки» -  программы, направленной на развитие детского туризма в регионах России и внедрение туристско-экскурсионных мероприятий в образовательные программы общего и профессионального образования. За 2024 год организовано и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роведено 10373 экскурсии, 6081 лекций, музейных занятий и мастер-классов и 234 массовых мероприятия. Всего научно-просветительской деятельностью музеев за отчетный год охвачено 203,7 тыс. человек, что на 15,8% больше, чем в 2023 г. (175,9 тыс. человек).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Чувашский государственный художественный музей активно сотрудничает с Союзом художников Чувашии, Творческим союзом художников Чувашии, Союзом чувашских художников и Союзом фотохудожников Чувашии.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 2020 г. Чувашская Республика принимает самое активное участие в Фестивале стрит-арта Приволжского федерального округа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Форм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Art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», направленном на развитие уличного искусства, поддержку творчества молодых художников и создание современной городской среды. В 2022 г. Алексей Чернов с граффити под названием «Творчество» занял третье место. В 2024 году работа Ксении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Кокель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«Мой дом – моя крепость» заняла 2 место среди 14 регионов Приволжского федерального округа.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97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проблемы: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слабое техническое оснащение музеев информационным и технологическим оборудованием, несоответствие имеющейся информационно-технологической базой и современными требованиями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цифровизации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деятельности музеев;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несоответствие существующих экспозиций музеев требованиям современного музейного дела и возросшим требованиям посетителей;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недостаточная разработанность образовательно-туристических маршрутов, отсутствие их в программах общего и профессионального образования.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7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развития: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создание современных экспозиций Мемориального комплекса летчика-космонавта СССР А.Г. Николаева (Мариинско-Посадский муниципальный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округ), Музея «Бичурин и современность» (Чебоксарский муниципальный округ), Аликовского литературно-краеведческого музея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Аликовский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муниципальный округ), Цивильского историко-краеведческого музея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Цивильский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муниципальный округ) и других на основе современного исторического знания и интерпретации музейных коллекций;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реализация Модельного стандарта деятельности муниципального краеведческого музея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(рекомендации органам государственной власти субъектов Российской Федерации и органам муниципальной власти), утвержденного Минкультуры России в 2021 г.);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реализация проектов, направленных на  сохранение и укрепление традиционных российских духовно-нравственных ценностей;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сохранение и пополнение музейного фонда Чувашской Республики;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внедрение современных технологий в методы учетной обработки музейных предметов;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в развитии внутреннего туризма, повышении туристической привлекательности республики;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организация обучения и повышения квалификации работников музеев на базе федеральных центров непрерывного образования, Чувашского государственного института культуры и искусств.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к 2030 году: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доли музейных предметов основного фонда, внесенных в музейную базовую информационную систему ФГИС «Государственный каталог Музейного фонда Российской Федерации» Государственный каталог  с 80% до 90%;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76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увеличение доли опубликованных на экспозициях и выставках музейных предметов от общего количества предметов музейного фонда учреждения с 20% до 25%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eastAsiaTheme="minorHAnsi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Theme="minorHAnsi"/>
          <w:b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Theme="minorHAnsi"/>
          <w:b/>
          <w:bCs/>
          <w:sz w:val="28"/>
          <w:szCs w:val="28"/>
          <w:lang w:eastAsia="en-US"/>
        </w:rPr>
      </w:r>
      <w:r>
        <w:rPr>
          <w:rFonts w:ascii="Times New Roman" w:hAnsi="Times New Roman" w:eastAsiaTheme="minorHAnsi"/>
          <w:b/>
          <w:bCs/>
          <w:sz w:val="28"/>
          <w:szCs w:val="28"/>
          <w:lang w:eastAsia="en-US"/>
        </w:rPr>
      </w:r>
    </w:p>
    <w:p>
      <w:pPr>
        <w:jc w:val="center"/>
        <w:spacing w:line="360" w:lineRule="auto"/>
        <w:rPr>
          <w:rFonts w:ascii="Times New Roman" w:hAnsi="Times New Roman" w:eastAsiaTheme="minorHAnsi"/>
          <w:b/>
          <w:bCs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Theme="minorHAnsi"/>
          <w:b/>
          <w:sz w:val="28"/>
          <w:szCs w:val="28"/>
          <w:lang w:eastAsia="en-US"/>
        </w:rPr>
        <w:t xml:space="preserve">6.  Социально-культурная деятельность</w:t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Theme="minorHAnsi"/>
          <w:b/>
          <w:bCs/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Одним из главных ресурсов обеспечения государственной культурной политики является сеть учреждений культуры культурно-досугового типа (далее – клубные учреждения).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 состоянию на 1 января 2025 г. в Чувашской Республике действуют 656 клубных учреждений, 97,3% функционируют на селе (643 ед.).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Клубные учреждения – самая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массовая и доступная сеть учреждений культуры, которые играют роль хранителей традиционной культуры и нематериального этнокультурного наследия, ими ведется значительная работа по созданию благоприятных условий для развития творческого потенциала личности.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Благодаря планомерной работе по укреплению материально-технической базы клубных учреждения, по состоянию на 1 января 2025 г.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доля зданий в неудовлетворительном состоянии составляет всего 2,9%, 8,3% - требует капитального ремонта.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Основным направлением деятельности клубных учреждений является организация деятельности клубных формирований в сфере культуры и досуга населения, их сегодня 5,2 тыс. различной жанровой направленности с числом участников свыше 73 тыс. человек.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Базовым элементом государственной политики в области культуры является сохранение традиционной народной культуры как самой массовой формы культурной де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ятельности. С целью реализации этого направления в Чувашской Республике действуют свыше 3,5 тыс. коллективов самодеятельного художественного творчества, в которых занимаются 46,8 тыс. человек, проводится около 20 конкурсов, фестивалей народного творчества.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Гордостью Чувашской Республики в сфере народного творчества являются творческие коллективы, удостоенные высоких званий за достижения в области народного художественного творчества и значительный вклад в развитие культуры: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5 руководителей коллективов удостоены премии Правительства Российской Федерации «Душа России», 6 коллективов удостоены звания «Заслуженный коллектив народного творчества» Российской Федерации, 250 коллективов имеют звание «народный самодеятельный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коллектив художественного творчества» Чувашской Республики, 18 коллективов стали победителями республиканского фестиваля любительских творческих коллективов и получили финансовую поддержку на развитие своей деятельности, 2 коллектива народного творчества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Уяв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Эревет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- победители Всероссийского конкурса любительских творческих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коллективов и обладатели гранта национального проекта «Культура» в размере 2 млн. рублей.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Творческие коллективы республики регулярно становятся призерами фестивалей-конкурсов разных уровней, демонстрируя высокий уровень исполнительского мастерства, оригинальность постановок, высокую сценическую культуру.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Особое внимание уделяется вовлечению в культурную деятельность всех слоев населения, прежде всего детей и молодежи, повышению качества 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доступности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культурных благ для всех категорий граждан.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последние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5 лет число посещений культурно-массовых мероприятий увеличилось на 134,5% по сравнению с 2019 г. и составляет 5,1 млн. человек, в 2024 г. проведено более 96,0 тыс. мероприятий. 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Значимыми событиями культурной жизни Чувашской Республики стали всероссийские проекты: Всероссийский фестиваль народного творчества «Родники России», Всероссийский конкурс мастеров декоративно-прикладного искусства «Русь мастеровая»,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Всечувашский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праздник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Акатуй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Активной формой организации проведения мероприятий на селе являются передвижные многофункциональные культурные центры (автоклубы), их 14. В 2024 г. автоклубами проведено более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240 мероприятий, охвачено более 27,0 тысяч человек. В 2025 г. все муниципальные округа республики будут обеспечены автоклубами, что позволит повысить доступность культуры для людей, проживающих в отдаленных и труднодоступных сельских населенных пунктах.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Кинообсл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уживание является неотъемлемой частью культурного обслуживания населения. Всего 22 современных кинозала работают на базе 19 культурно-досуговых учреждений. Чувашская Республика занимает 12 место в России по количеству открытых модернизированных кинозалов.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Кинозалы стали площадками для организации кинопоказов, культ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урно-массовых и просветительских мероприятий, в том числе путем бесплатного показа фильмов, включенных в образовательную программу общеобразовательных организаций, все они подключены к программе «Пушкинская карта». С 1 сентября 2024 г. запущена программа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Киноуроки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которая направлена на показ школьникам на широком экране отечественных фильмов из школьной программы по предмету «Литература».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соответствии с Законом «О нематериальном этнокультурном достоянии Российской Федерации в Чувашской Республике» от 26.05.2023  № 35 осуществляется работа по выявлению, изучению, использованию, актуализации, сохранению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 популяризации объектов нематериального этнокультурного достояния в Чувашской Республике. В федеральный  реестр объектов нематериального культурного наследия народов России включен объект «Традиционная технология изготовления чувашской вышивки». В 2024 г.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в республике успешно прошли экспедиционные исследования в рамках Всероссийского проекта «Цикл фольклорных экспедиций по выявлению объектов нематериального этнокультурного достояния народов России. В ходе экспедиции выявлено 5 объектов, которые войдут 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регион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альный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и федеральные реестры. 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Основные проблемы: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низкий уровень информатизации и технической оснащенности клубных учреждений.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Удельный вес клубных учреждений, имеющих АРМ, составляет 53,7%, доступ в «Интернет» имеют всего 28,7 % учреждений;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сокращение количества работников клубных учреждений, текучесть кадров, дефицит квалифицированных кадров (особенно в сельской местности);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снижение мотивации людей к участию в клубных формированиях, различных фестивальных, конкурсных мероприятиях.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Указанные проблемы в своей совокупности ведут к недостаточной эффективности деятельности культурно-досуговых учреждений, к низкой удовлетворенности населения качеством предоставляемых услуг.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Основные направления развития: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модернизация клубных учреждений в рамках 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ационального проекта «Семья» и реализация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мегапроекта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«Дом культуры. Новый формат», включенного в Комплексную программу социально-экономического развития Чувашской Республики до 2030 года;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реализация проектов, направленных на  сохранение и укрепление традиционных российских духовно-нравственных ценностей;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обеспечение доступности культу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ры для людей, проживающих в отдаленных и труднодоступных сельских населенных пунктах, в которых нет стационарных домов культуры или концертных залов через автоклубы – культурные центры «на колесах», оснащенные современным многофункциональным оборудованием;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участие во Всероссийском конкурсе на определение лучшего реализованного проекта в субъектах Российской Федерации «ДОМ КУЛЬТУРЫ. НОВЫЙ ФОРМАТ» среди государственных (муниципальных) учреждений культурно-досугового типа;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организация обучения и повышения квалификации работников клубных учреждений на базе федеральных центров непрерывного образования, Чувашского государственного института культуры и искусств.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усиление системы информационно-методического обеспечения учреждений клубного типа;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проведение мониторинга удовлетворенности качеством услуг, оказываемых клубными учреждениями;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выявление, изучение, использование, актуализация, сохранение и популяризация объектов нематериального этнокультурного достояния в Чува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шской Республике.</w:t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Ожидаемые результаты к 2030 году: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максимальное переоснащение клубных учреждений современным высокотехнологичным оборудов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анием и инвентарем, компьютерной техникой, сценическими костюмами, одеждой сцены, обеспечение качественной Интернет связью;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увеличение доли работников, имеющих высшее и среднее профессиональное образование в культурно-досуговых учреждений до 60%;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увеличение доли муниципальных домов культуры, оснащенных современным оборудованием, до 40 %;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увеличение доли граждан, вовлеченных в творческую и культурно-досуговую деятельность на 10%;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повышение к 2030 году удовлетворенности граждан работой клубных учреждений.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center"/>
        <w:spacing w:line="283" w:lineRule="exact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7. Государственная охрана объектов культурного наследия  (памятников истории и культуры)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center"/>
        <w:spacing w:line="283" w:lineRule="exact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 территории Чувашской Республики государственной охране объектов культурного наследия (памятников истории и культуры) (дале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е-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объекты культурного наследия) подлежат: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1) 699 объектов культурного наследия включенных в единый реестр объектов культурного наследия (памятников истории и культуры) народов Российской Федерации (далее – объекты культурного наследия), в том числе: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223 объектов культурного наследия федерального значения (50 памятников истории и культуры, 173 объектов археологического наследия);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476 объектов культурного наследия регионального значения.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единый реестр объектов культурного наследия (памятников истории и культуры) народов Российской Федерации (далее – реестр) включено 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100 % объектов культурного наследия.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 состоянию на 1 января 2025 г.  зафиксирована утрата 40 объектов культурного наследия, в том числе 5 памятников истории и культуры федерального значения, 35 – регионального значения.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4,9% (32 ед.) культурного наследия находится в неудовлетворительном состоянии (за исключением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утраченных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81,8 % объектов культурного наследия имеют утвержденные  охранные обязательства в соответствие с новой формой.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20,2% объектов культурного наследия  имеют утвержденные  зоны охраны. Для объектов археологического наследия утверждение зон охраны не требуется.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77,4% объектов культурного наследия  имеют утвержденные  границы территории.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51,9% объектов культурного наследия имеют утвержденный  предмет охраны.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 последние 5 лет мероприятия по сохранению объектов культурного наследия были проведены на 248 объектах культурного наследия.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Проводится раб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ота по популяризации объектов культурного наследия. Ежегодно в рамках акции «Всероссийский день заботы о памятниках истории и культуры» проводится субботник. БУ «Госцентр по охране культурного наследия» Минкультуры Чувашии ведут аккаунт в социальной сети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ВКонтакте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канал в мессенджере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Telegram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в котором публикуются посты об объектах культурного наследия. Государственной киностудией «Чувашкино» были сняты ролики о 4 объектах культурного наследия.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Осуществляется контрольно-надзорная деятельность за состоянием, содержание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м, сохранением, использованием, популяризацией и государственной охраной объектов культурного наследия, направленная на предотвращение причинения вреда либо угрозы причинения вреда объектам культурного наследия вследствие нарушений обязательных требований.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Для реализации полномочий по обеспечению государственной охраны объектов культурного наследия ежегодно с 2017 г. из республиканского бюджета Чувашской Республики выделяется в среднем по 3,7 млн. рублей, из федерального – 400,0 тыс. рублей.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р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амках празднования 100-летия Чувашской автономной области на ремонтно-реставрационные работы 21 объекта культурного наследия в 2018-2020 гг. направлено 217,0 млн. рублей: в 2018 г. – 77,0 млн. рублей, 2019 г. – 78,0 млн. рублей, 2020 г. – 62,0 млн. рублей.</w:t>
      </w:r>
      <w:bookmarkStart w:id="2" w:name="_Hlk40981866"/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Основные проблемы:</w:t>
      </w:r>
      <w:bookmarkEnd w:id="2"/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недостаточность объема финансирования работ, связанных проведением работ по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сохранению объектов культурного наследия, включенных в реестр;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высокая степень физической изношенности значительного количества объектов культурного наследия (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руинированных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), создающая угрозу их полной физической утраты;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недостаточное количество мероприятий по популяризации объектов культурного наследия, недостаточный уровень воспитания уважительного отношения жителей республики к культурному наследию.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Основные направления развития: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утверждение границ территорий, зон охра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ны и предметов охраны объектов культурного наследия;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подготовка Актов технического состоян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ия объектов и Планов работы по сохранению объектов культурного наследия  для последующего утверждения охранных обязательств собственника или иного законного владельца объекта культурного наследия, включенного в реестр на все объекты регионального значения;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проведение мероприятий и работ по включению в реестр выявленных объектов культурного наследия;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проведение мероприятий и работ по исключение утраченных объектов культурного наследия из реестра;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оказание содействия в проведении археологических раскопок при освоении земель хозяйственного назначения;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проведение мероприятий по популяризации объектов культурного наследия;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проведение работ по сохранению объектов культурного наследия, находящихся на территории Чувашской Республики.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Ожидаемые результаты к 2030 году:</w:t>
      </w:r>
      <w:bookmarkStart w:id="3" w:name="_Hlk42064151"/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утверждение охранных обязательств до 95,0 % от общего количества памятников истории и культуры;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разработка проектов и утверждение предметов охраны и границ территорий до 95,0 % от общего количества памятников истории и культуры;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разработка проектов и установление зон охраны  до 67,7% от общего количества памятников истории и культуры;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проведение ремонтно-реставрационных работ на 92 объектах культурного наследия;</w:t>
      </w:r>
      <w:bookmarkEnd w:id="3"/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выполнение обязательных требований законодательства в области государственной охраны объектов культурного наследия (памятников истории и культуры);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создание эффективной и ресурсно-обеспеченной системы сохранения объектов культурного наследия, позволяющей постоянно снижать долю памятников, находящихся в неудовлетворительном или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руинированном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состоянии.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jc w:val="center"/>
        <w:spacing w:line="282" w:lineRule="exact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  <w:t xml:space="preserve"> 8. Реализация государственной национальной политики </w:t>
      </w: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r>
    </w:p>
    <w:p>
      <w:pPr>
        <w:jc w:val="center"/>
        <w:spacing w:line="282" w:lineRule="exact"/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  <w:t xml:space="preserve">в Чувашской Республике</w:t>
      </w: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ar-SA"/>
        </w:rPr>
      </w:r>
    </w:p>
    <w:p>
      <w:pPr>
        <w:jc w:val="center"/>
        <w:spacing w:line="282" w:lineRule="exact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территории современной Чувашии сложился особый тип взаимодействия народов, характер</w:t>
      </w:r>
      <w:r>
        <w:rPr>
          <w:rFonts w:ascii="Times New Roman" w:hAnsi="Times New Roman" w:eastAsia="Times New Roman"/>
          <w:sz w:val="28"/>
          <w:szCs w:val="28"/>
        </w:rPr>
        <w:t xml:space="preserve">изующийся позитивным характером межнациональных (межэтнических) и межконфессиональных отношений. За столетия совместного проживания сформировались устойчивые черты добрососедства, веротерпимости, межнационального (межэтнического) согласия и сотрудничества.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Согласно данным Всероссийской переписи населения 2020 г. этнический состав населения респуб</w:t>
      </w:r>
      <w:r>
        <w:rPr>
          <w:rFonts w:ascii="Times New Roman" w:hAnsi="Times New Roman" w:eastAsia="Times New Roman"/>
          <w:sz w:val="28"/>
          <w:szCs w:val="28"/>
        </w:rPr>
        <w:t xml:space="preserve">лики представлен следующими национальностями:  чуваши – 63,7%, русские – 30,7%, татары – 2,7%, мордва – 0,7%, мари – 0,3%, численность остальных народов составляет 1,9% (данные без учета граждан, не указавших национальную принадлежность – 112,1 тыс. чел.).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 состоянию на 1 января 2025 г. в Чувашии действуют 35 национально-культурных организаций, в которые входят представители более 20 народов; осуществляют деятельность 338 религиозных организаций, представляю</w:t>
      </w:r>
      <w:r>
        <w:rPr>
          <w:rFonts w:ascii="Times New Roman" w:hAnsi="Times New Roman" w:eastAsia="Times New Roman"/>
          <w:sz w:val="28"/>
          <w:szCs w:val="28"/>
        </w:rPr>
        <w:t xml:space="preserve">щих 14 конфессий. Деятельность большинства из них направлена на сохранение социальной стабильности, духовно-нравственное и патриотическое воспитание молодежи, развитие толерантности и укрепление гражданского мира и межконфессионального согласия в обществе.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Постановлением Кабинета Минист</w:t>
      </w:r>
      <w:r>
        <w:rPr>
          <w:rFonts w:ascii="Times New Roman" w:hAnsi="Times New Roman" w:eastAsia="Times New Roman"/>
          <w:sz w:val="28"/>
          <w:szCs w:val="28"/>
        </w:rPr>
        <w:t xml:space="preserve">ров Чувашской Республики от 12 августа 2020 г. № 464 образован Совет по межнациональным и межконфессиональным отношениям в Чувашской Республике, в состав которого вошли представители национально-культурных объединений и традиционных религиозных конфессий.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Чувашско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выработаны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основные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механизмы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политики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сформирована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система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управления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этноконфессиональными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процессами</w:t>
      </w:r>
      <w:r>
        <w:rPr>
          <w:rFonts w:ascii="Times New Roman" w:hAnsi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Министерство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культуры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делам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национальностей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архивного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дела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является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исполнительным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органом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, координирующим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государственную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политику</w:t>
      </w:r>
      <w:r>
        <w:rPr>
          <w:rFonts w:ascii="Times New Roman" w:hAnsi="Times New Roman" w:eastAsia="Times New Roman"/>
          <w:sz w:val="28"/>
          <w:szCs w:val="28"/>
        </w:rPr>
        <w:t xml:space="preserve"> в сфере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межнациональных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межконфессиональных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отношений</w:t>
      </w:r>
      <w:r>
        <w:rPr>
          <w:rFonts w:ascii="Times New Roman" w:hAnsi="Times New Roman" w:eastAsia="Times New Roman"/>
          <w:sz w:val="28"/>
          <w:szCs w:val="28"/>
        </w:rPr>
        <w:t xml:space="preserve">. В реализации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политики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Республике</w:t>
      </w:r>
      <w:r>
        <w:rPr>
          <w:rFonts w:ascii="Times New Roman" w:hAnsi="Times New Roman" w:eastAsia="Times New Roman"/>
          <w:sz w:val="28"/>
          <w:szCs w:val="28"/>
        </w:rPr>
        <w:t xml:space="preserve"> в рамках своей компетенции принимают участие Министерство образования Чувашской Республики, М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инист</w:t>
      </w:r>
      <w:r>
        <w:rPr>
          <w:rFonts w:ascii="Times New Roman" w:hAnsi="Times New Roman" w:eastAsia="Times New Roman"/>
          <w:sz w:val="28"/>
          <w:szCs w:val="28"/>
        </w:rPr>
        <w:t xml:space="preserve">е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/>
          <w:sz w:val="28"/>
          <w:szCs w:val="28"/>
        </w:rPr>
        <w:t xml:space="preserve">ство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цифрового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развития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информационной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политики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массовых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коммуникаций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, иные исполнительные органы Чувашской Республики и органы местного самоуправления.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2024 году создано автономное учреждение Чувашской Республики «Дом дружбы народов Чувашской Республики» Министерства культуры, по делам национальностей и архивного дела Чувашской Республики. 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территории республики сохраняется в целом благоприятный климат межэтнических и межконфессиональных отношений, что подтверждается многолетними социологическими наблюдениями. Многонациональность и </w:t>
      </w:r>
      <w:r>
        <w:rPr>
          <w:rFonts w:ascii="Times New Roman" w:hAnsi="Times New Roman" w:eastAsia="Times New Roman"/>
          <w:sz w:val="28"/>
          <w:szCs w:val="28"/>
        </w:rPr>
        <w:t xml:space="preserve">поликонфессиональность</w:t>
      </w:r>
      <w:r>
        <w:rPr>
          <w:rFonts w:ascii="Times New Roman" w:hAnsi="Times New Roman" w:eastAsia="Times New Roman"/>
          <w:sz w:val="28"/>
          <w:szCs w:val="28"/>
        </w:rPr>
        <w:t xml:space="preserve"> населения республики не являются источником социальной напряженности.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период с 2020 года по 2025 год достигнуты существенные результаты в обеспечении межнационального мира и согласия в Чувашской Республике. </w:t>
        <w:tab/>
        <w:t xml:space="preserve">По итогам социологического исследования в 2024 году 89,3 % опрошенных положительно оцен</w:t>
      </w:r>
      <w:r>
        <w:rPr>
          <w:rFonts w:ascii="Times New Roman" w:hAnsi="Times New Roman" w:eastAsia="Times New Roman"/>
          <w:sz w:val="28"/>
          <w:szCs w:val="28"/>
        </w:rPr>
        <w:t xml:space="preserve">ивают состояние межнациональных (межэтнических) отношений. Показатель «Доля граждан, отмечающих отсутствие в отношении себя дискриминации по признаку национальной, языковой или религиозной принадлежности» составил 88,2%. Состояние межрелигиозных отношений </w:t>
      </w:r>
      <w:r>
        <w:rPr>
          <w:rFonts w:ascii="Times New Roman" w:hAnsi="Times New Roman" w:eastAsia="Times New Roman"/>
          <w:sz w:val="28"/>
          <w:szCs w:val="28"/>
        </w:rPr>
        <w:t xml:space="preserve">положительным</w:t>
      </w:r>
      <w:r>
        <w:rPr>
          <w:rFonts w:ascii="Times New Roman" w:hAnsi="Times New Roman" w:eastAsia="Times New Roman"/>
          <w:sz w:val="28"/>
          <w:szCs w:val="28"/>
        </w:rPr>
        <w:t xml:space="preserve"> оценили 86,1% респондентов, лишь 1% опрошенных оценил его отрицательно. Уровень общероссийской гражданской идентичности составил 88,2%.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 многом устойчивость этнополитической ситуации в республике обу</w:t>
      </w:r>
      <w:r>
        <w:rPr>
          <w:rFonts w:ascii="Times New Roman" w:hAnsi="Times New Roman" w:eastAsia="Times New Roman"/>
          <w:sz w:val="28"/>
          <w:szCs w:val="28"/>
        </w:rPr>
        <w:t xml:space="preserve">словлена огромным историческим опытом сотрудничества и добрососедства народов Российской Федерации, проживающих на территории Чувашской Республики, мирным характером складывавшегося на протяжении значительного периода времени межэтнического взаимодействия.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Опора на традиции добрососедства, сотрудничества и веротерпимости позволяет успешно </w:t>
      </w:r>
      <w:r>
        <w:rPr>
          <w:rFonts w:ascii="Times New Roman" w:hAnsi="Times New Roman" w:eastAsia="Times New Roman"/>
          <w:sz w:val="28"/>
          <w:szCs w:val="28"/>
        </w:rPr>
        <w:t xml:space="preserve">нейтрализовывать</w:t>
      </w:r>
      <w:r>
        <w:rPr>
          <w:rFonts w:ascii="Times New Roman" w:hAnsi="Times New Roman" w:eastAsia="Times New Roman"/>
          <w:sz w:val="28"/>
          <w:szCs w:val="28"/>
        </w:rPr>
        <w:t xml:space="preserve"> влияние негативных национально-</w:t>
      </w:r>
      <w:r>
        <w:rPr>
          <w:rFonts w:ascii="Times New Roman" w:hAnsi="Times New Roman" w:eastAsia="Times New Roman"/>
          <w:sz w:val="28"/>
          <w:szCs w:val="28"/>
        </w:rPr>
        <w:t xml:space="preserve">радикальных политических тенденций, противостоять проявлениям экстремизма, сохраняя в республике межнациональный и межконфессиональный мир и взаимопонимание.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Основные проблемы: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незаконная миграция, несовершенство действующей системы социальной и культурной интеграции и адаптации иностранных граждан;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распространенность негативных стереотипов в отношении некоторых народов;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недостаточный уровень интегрированности новых этнических диаспор в российское общество;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сохранение неудовлетворенности уровнем обеспечения этноязыковых прав;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недостаточность образовательных и культурно-просветительских мер по формированию общероссийской гражданской идентичности, воспитанию культуры межнациона</w:t>
      </w:r>
      <w:r>
        <w:rPr>
          <w:rFonts w:ascii="Times New Roman" w:hAnsi="Times New Roman"/>
          <w:sz w:val="28"/>
          <w:szCs w:val="28"/>
        </w:rPr>
        <w:t xml:space="preserve">льного общения, изучению истории и традиций народов Российской Федерации, проживающих на территории Чувашской Республики, их опыта солидарности в укреплении государства и защиты общего Отечества;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</w:t>
      </w:r>
      <w:r>
        <w:rPr>
          <w:rFonts w:ascii="Times New Roman" w:hAnsi="Times New Roman"/>
          <w:sz w:val="28"/>
          <w:szCs w:val="28"/>
        </w:rPr>
        <w:t xml:space="preserve">очный уровень межведомственной и межуровневой координации в сфере реализации государственной национальной политики Российской Федерации на территории Чувашской Республики, включая профилактику экстремизма и раннее предупреждение межнациональных конфликтов;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</w:t>
      </w:r>
      <w:r>
        <w:rPr>
          <w:rFonts w:ascii="Times New Roman" w:hAnsi="Times New Roman"/>
          <w:sz w:val="28"/>
          <w:szCs w:val="28"/>
        </w:rPr>
        <w:t xml:space="preserve">ая подготовленность представителей органов власти всех уровней, прежде всего органов местного самоуправления, в вопросах прогнозирования и предупреждения межэтнических, межконфессиональных противоречий и конфликтов и в вопросах противодействия экстремизму;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недостаточная мотивация органов местного самоуправления на работу в сфере межнациональных отношений.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направления развития: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1)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сфере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укрепления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общероссийской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гражданской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идентичности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основе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духовно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-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нравственных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культурных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ценностей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формирование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гражданского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самосознания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патриотизма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гражданской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ответственности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чувства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гордости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за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воспитание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межнационального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общения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основанной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уважении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чести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достоинства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граждан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традиционных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духовно</w:t>
      </w:r>
      <w:r>
        <w:rPr>
          <w:rFonts w:ascii="Times New Roman" w:hAnsi="Times New Roman" w:eastAsia="Times New Roman"/>
          <w:sz w:val="28"/>
          <w:szCs w:val="28"/>
        </w:rPr>
        <w:t xml:space="preserve">-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нравственных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ценностей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совершенствование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образовательных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программ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различных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уровнях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образования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учебно</w:t>
      </w:r>
      <w:r>
        <w:rPr>
          <w:rFonts w:ascii="Times New Roman" w:hAnsi="Times New Roman" w:eastAsia="Times New Roman"/>
          <w:sz w:val="28"/>
          <w:szCs w:val="28"/>
        </w:rPr>
        <w:t xml:space="preserve">-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методических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комплексов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изучению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исторического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опыта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взаимодействия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значимых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событий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повлиявших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формирование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общероссийского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единства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солидарности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совершенствование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системы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обучения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образовательных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организациях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целях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сохранения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развития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этнокультурного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языкового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многообразия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наряду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воспитанием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уважения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культуре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мировым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культурным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ценностям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включение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образовательные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общеобразовательных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образовательных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курсов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изучению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ценностей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традиций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поддержка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общественных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инициатив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направленных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патриотическое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воспитание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детей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молодежи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подготовка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профессиональная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переподготовка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повышение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квалификации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педагогических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кадров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учетом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этнокультурных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региональных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особенностей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2)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сфере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обеспечения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конституционных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прав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граждан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обеспечение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равенства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прав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свобод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человека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гражданина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независимо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расы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национальности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языка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происхождения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имущественного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должностного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положения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места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жительства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отношения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религии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убеждений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принадлежности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общественным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объединениям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других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обстоятель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ств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приеме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работу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замещении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должностей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службы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формировании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кадрового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резерва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сохранение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условий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свободного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определения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гражданами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своей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принадлежности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числе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проведении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Всероссийской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переписи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населения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принятие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мер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недопущению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дискриминации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признаку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принадлежности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осуществлении</w:t>
      </w:r>
      <w:r>
        <w:rPr>
          <w:rFonts w:ascii="Times New Roman" w:hAnsi="Times New Roman" w:eastAsia="Times New Roman"/>
          <w:sz w:val="28"/>
          <w:szCs w:val="28"/>
        </w:rPr>
        <w:t xml:space="preserve"> исполнительными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органами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органами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местного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самоуправления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своей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деятельности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3)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сфере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укрепления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гражданского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единства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многонационального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народа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нации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),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сохранения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поддержки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этнокультурного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языкового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многообразия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сохранение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приумножение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духовного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исторического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наследия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потенциала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многонационального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нации</w:t>
      </w:r>
      <w:r>
        <w:rPr>
          <w:rFonts w:ascii="Times New Roman" w:hAnsi="Times New Roman" w:eastAsia="Times New Roman"/>
          <w:sz w:val="28"/>
          <w:szCs w:val="28"/>
        </w:rPr>
        <w:t xml:space="preserve">)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посредством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пропаганды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идей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патриотизма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единства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дружбы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межнационального</w:t>
      </w:r>
      <w:r>
        <w:rPr>
          <w:rFonts w:ascii="Times New Roman" w:hAnsi="Times New Roman" w:eastAsia="Times New Roman"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межэтнического</w:t>
      </w:r>
      <w:r>
        <w:rPr>
          <w:rFonts w:ascii="Times New Roman" w:hAnsi="Times New Roman" w:eastAsia="Times New Roman"/>
          <w:sz w:val="28"/>
          <w:szCs w:val="28"/>
        </w:rPr>
        <w:t xml:space="preserve">)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согласия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повышение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интереса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изучению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языков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значимых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исторических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событий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ставших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основой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праздников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памятных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дат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связанных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реализацией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политики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предупреждение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попыток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фальсификации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сохранение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межнациональных</w:t>
      </w:r>
      <w:r>
        <w:rPr>
          <w:rFonts w:ascii="Times New Roman" w:hAnsi="Times New Roman" w:eastAsia="Times New Roman"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межэтнических</w:t>
      </w:r>
      <w:r>
        <w:rPr>
          <w:rFonts w:ascii="Times New Roman" w:hAnsi="Times New Roman" w:eastAsia="Times New Roman"/>
          <w:sz w:val="28"/>
          <w:szCs w:val="28"/>
        </w:rPr>
        <w:t xml:space="preserve">)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отношений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Республике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популяризация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распространение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классических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современных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произведений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литературы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искусства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художественного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творчества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организация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поддержка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художественных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выставок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фестивалей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конкурсов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гастролей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творческих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коллективов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других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форм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деятельности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культуры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этнографического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культурно</w:t>
      </w:r>
      <w:r>
        <w:rPr>
          <w:rFonts w:ascii="Times New Roman" w:hAnsi="Times New Roman" w:eastAsia="Times New Roman"/>
          <w:sz w:val="28"/>
          <w:szCs w:val="28"/>
        </w:rPr>
        <w:t xml:space="preserve">-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познавательного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туризма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оздоровительных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рекреационных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зон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включающих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объекты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наследия</w:t>
      </w:r>
      <w:r>
        <w:rPr>
          <w:rFonts w:ascii="Times New Roman" w:hAnsi="Times New Roman" w:eastAsia="Times New Roman"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памятники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культуры</w:t>
      </w:r>
      <w:r>
        <w:rPr>
          <w:rFonts w:ascii="Times New Roman" w:hAnsi="Times New Roman" w:eastAsia="Times New Roman"/>
          <w:sz w:val="28"/>
          <w:szCs w:val="28"/>
        </w:rPr>
        <w:t xml:space="preserve">)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оказание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поддержки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национальным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видам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спорта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организация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посещения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детьми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молодежью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объектов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исторического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наследия</w:t>
      </w:r>
      <w:r>
        <w:rPr>
          <w:rFonts w:ascii="Times New Roman" w:hAnsi="Times New Roman" w:eastAsia="Times New Roman"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памятников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культуры</w:t>
      </w:r>
      <w:r>
        <w:rPr>
          <w:rFonts w:ascii="Times New Roman" w:hAnsi="Times New Roman" w:eastAsia="Times New Roman"/>
          <w:sz w:val="28"/>
          <w:szCs w:val="28"/>
        </w:rPr>
        <w:t xml:space="preserve">)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памятных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мест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городов</w:t>
      </w:r>
      <w:r>
        <w:rPr>
          <w:rFonts w:ascii="Times New Roman" w:hAnsi="Times New Roman" w:eastAsia="Times New Roman"/>
          <w:sz w:val="28"/>
          <w:szCs w:val="28"/>
        </w:rPr>
        <w:t xml:space="preserve">-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героев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городов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воинской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славы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совершенствование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системы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профессиональной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подготовки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специалистов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государственная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поддержка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научных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исследований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научно</w:t>
      </w:r>
      <w:r>
        <w:rPr>
          <w:rFonts w:ascii="Times New Roman" w:hAnsi="Times New Roman" w:eastAsia="Times New Roman"/>
          <w:sz w:val="28"/>
          <w:szCs w:val="28"/>
        </w:rPr>
        <w:t xml:space="preserve">-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популярных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публикаций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создания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произведений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литературы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искусства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кино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телевидения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художественного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творчества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интернет</w:t>
      </w:r>
      <w:r>
        <w:rPr>
          <w:rFonts w:ascii="Times New Roman" w:hAnsi="Times New Roman" w:eastAsia="Times New Roman"/>
          <w:sz w:val="28"/>
          <w:szCs w:val="28"/>
        </w:rPr>
        <w:t xml:space="preserve">-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ресурсов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посвященных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традиционно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региона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освещающих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значимые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события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страны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пропагандирующих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достижения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представителей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создание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оптимальных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условий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укрепления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семьи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возрождения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традиционных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семейных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ценностей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усиление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роли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семьи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национальном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межнациональном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воспитании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подрастающего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поколения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добровольческого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движения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сфере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сохранения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историко</w:t>
      </w:r>
      <w:r>
        <w:rPr>
          <w:rFonts w:ascii="Times New Roman" w:hAnsi="Times New Roman" w:eastAsia="Times New Roman"/>
          <w:sz w:val="28"/>
          <w:szCs w:val="28"/>
        </w:rPr>
        <w:t xml:space="preserve">-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наследия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разработка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комплекса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мер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направленных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обеспечение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этнокультурных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потребностей</w:t>
      </w:r>
      <w:r>
        <w:rPr>
          <w:rFonts w:ascii="Times New Roman" w:hAnsi="Times New Roman" w:eastAsia="Times New Roman"/>
          <w:sz w:val="28"/>
          <w:szCs w:val="28"/>
        </w:rPr>
        <w:t xml:space="preserve"> чувашского народа,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компактно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проживающ</w:t>
      </w:r>
      <w:r>
        <w:rPr>
          <w:rFonts w:ascii="Times New Roman" w:hAnsi="Times New Roman" w:eastAsia="Times New Roman"/>
          <w:sz w:val="28"/>
          <w:szCs w:val="28"/>
        </w:rPr>
        <w:t xml:space="preserve">его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субъектах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содействие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созданию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</w:t>
      </w:r>
      <w:r>
        <w:rPr>
          <w:rFonts w:ascii="Times New Roman" w:hAnsi="Times New Roman" w:eastAsia="Times New Roman"/>
          <w:sz w:val="28"/>
          <w:szCs w:val="28"/>
        </w:rPr>
        <w:t xml:space="preserve">-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центров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местах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компактного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проживания</w:t>
      </w:r>
      <w:r>
        <w:rPr>
          <w:rFonts w:ascii="Times New Roman" w:hAnsi="Times New Roman" w:eastAsia="Times New Roman"/>
          <w:sz w:val="28"/>
          <w:szCs w:val="28"/>
        </w:rPr>
        <w:t xml:space="preserve"> чувашей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за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рубежом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i/>
          <w:iCs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4)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сфере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обеспечения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межнационального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межрелигиозного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мира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согласия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гармонизации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межнациональных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межэтнических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)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отношений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:</w:t>
      </w:r>
      <w:r>
        <w:rPr>
          <w:rFonts w:ascii="Times New Roman" w:hAnsi="Times New Roman" w:eastAsia="Times New Roman"/>
          <w:i/>
          <w:iCs/>
          <w:sz w:val="28"/>
          <w:szCs w:val="28"/>
        </w:rPr>
      </w:r>
      <w:r>
        <w:rPr>
          <w:rFonts w:ascii="Times New Roman" w:hAnsi="Times New Roman" w:eastAsia="Times New Roman"/>
          <w:i/>
          <w:iCs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распространение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обществе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установок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неприятии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недопущении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пропаганды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идей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экстремизма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ксенофобии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исключительности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нацизма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оправдания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вовлечение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этнокультурных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общественных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объединений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религиозных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межнациональное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межконфессиональное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сотрудничество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противодействие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пропаганде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идей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экстремизма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средствах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массовой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электронных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коммуникаций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реализация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мер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правового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информационного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характера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профилактике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использования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религиозного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факторов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избирательном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процессе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5)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сфере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обеспечения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социально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-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экономических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условий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для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эффективной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политики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Чувашской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учет этнокультурного фактора при обеспечении сбалансированного, комплексного и системного развития муниципальных образований в Чувашской Республике;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содействие развитию народных промыслов, ремесел и этнографического туризма в целях увеличения занятости населения;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обеспечение доступа граждан к </w:t>
      </w:r>
      <w:r>
        <w:rPr>
          <w:rFonts w:ascii="Times New Roman" w:hAnsi="Times New Roman" w:eastAsia="Times New Roman"/>
          <w:sz w:val="28"/>
          <w:szCs w:val="28"/>
        </w:rPr>
        <w:t xml:space="preserve">социальному</w:t>
      </w:r>
      <w:r>
        <w:rPr>
          <w:rFonts w:ascii="Times New Roman" w:hAnsi="Times New Roman" w:eastAsia="Times New Roman"/>
          <w:sz w:val="28"/>
          <w:szCs w:val="28"/>
        </w:rPr>
        <w:t xml:space="preserve"> и иным видам обслуживания в отдаленных и труднодоступных местностях;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разработка, реализация, обеспеч</w:t>
      </w:r>
      <w:r>
        <w:rPr>
          <w:rFonts w:ascii="Times New Roman" w:hAnsi="Times New Roman" w:eastAsia="Times New Roman"/>
          <w:sz w:val="28"/>
          <w:szCs w:val="28"/>
        </w:rPr>
        <w:t xml:space="preserve">ение отраслевого и межотраслевого соответствия государственных программ Российской Федерации, Чувашской Республики и муниципальных программ (подпрограмм) в сфере государственной национальной политики Российской Федерации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6) в сфере обеспечения условий для сохранения и развития государственных языков Чувашской Республики, а также языков народов Российской Федерации, проживающих на территории Чувашской Республики: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создание оптимальных условий для использования государственных языков Чувашской Республики, а также для сохранения и развития других языков народов Российской Федерации, проживающих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обеспечение прав граждан на изучение родного языка и других языков народов Российской Федерации, проживающих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недопустимость ущемления прав граждан на свободный выбор языка общения, образования, воспитания и творчества;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оказание содействия при производстве теле- и радиопрограмм, аудио- и видеоматериалов, создании </w:t>
      </w:r>
      <w:r>
        <w:rPr>
          <w:rFonts w:ascii="Times New Roman" w:hAnsi="Times New Roman" w:eastAsia="Times New Roman"/>
          <w:sz w:val="28"/>
          <w:szCs w:val="28"/>
        </w:rPr>
        <w:t xml:space="preserve">интернет-ресурсов</w:t>
      </w:r>
      <w:r>
        <w:rPr>
          <w:rFonts w:ascii="Times New Roman" w:hAnsi="Times New Roman" w:eastAsia="Times New Roman"/>
          <w:sz w:val="28"/>
          <w:szCs w:val="28"/>
        </w:rPr>
        <w:t xml:space="preserve">, издании печатной продукции на языках народов Российской Федерации, проживающих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обмен </w:t>
      </w:r>
      <w:r>
        <w:rPr>
          <w:rFonts w:ascii="Times New Roman" w:hAnsi="Times New Roman" w:eastAsia="Times New Roman"/>
          <w:sz w:val="28"/>
          <w:szCs w:val="28"/>
        </w:rPr>
        <w:t xml:space="preserve">теле</w:t>
      </w:r>
      <w:r>
        <w:rPr>
          <w:rFonts w:ascii="Times New Roman" w:hAnsi="Times New Roman" w:eastAsia="Times New Roman"/>
          <w:sz w:val="28"/>
          <w:szCs w:val="28"/>
        </w:rPr>
        <w:t xml:space="preserve">- и радиопрограммами, аудио- и видеоматериалами, печатной продукцией на национальных языках с субъектами Российской Федерации;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укрепление статуса чувашского языка как одного из государственных языков Чувашской Республики, формирование необходимых общественно-государственных, социально-культурных механизмов его функционирования;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методическое сопровождение органов местного самоуправления в Чувашской Республике в разработке комплекса мер по поддержке языковой самобытности народов Российской Федерации, проживающих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формирование позитивного имиджа чувашского языка в детской и молодежной среде, пропаганда ценности языка своей национальности в молодежной среде;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развитие рынка товаров и услуг, направленных на удовлетворение гражданами своих языковых потребностей;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разработка, выявление и поддержка инновационных технологий в сфере сохранения и развития национальных языков;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содействие представителям чувашского народа, проживающим в Российской Федерации и за рубежом, в сохранении и развитии чувашского языка;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7) в сфере обеспечения условий для социальной и культурной адаптации иностранных граждан и их интеграции в российское общество: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создание экономических и социальных условий для добровольного переселения в Чувашскую Республику соотечественников, проживающих за рубежом;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недопущение социальной и территориальной изоляции иностранных граждан в Чувашской Республике, устранение способствующих этому условий;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разработка,</w:t>
      </w:r>
      <w:r>
        <w:rPr>
          <w:rFonts w:ascii="Times New Roman" w:hAnsi="Times New Roman" w:eastAsia="Times New Roman"/>
          <w:sz w:val="28"/>
          <w:szCs w:val="28"/>
        </w:rPr>
        <w:t xml:space="preserve">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Чувашской Республике и их интеграции в российское общество;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повышение и укрепление роли институтов гражданского общества в социально</w:t>
      </w:r>
      <w:r>
        <w:rPr>
          <w:rFonts w:ascii="Times New Roman" w:hAnsi="Times New Roman" w:eastAsia="Times New Roman"/>
          <w:sz w:val="28"/>
          <w:szCs w:val="28"/>
        </w:rPr>
        <w:t xml:space="preserve">й и культурной адаптации иностранных граждан, содействие участию институтов гражданского общества в деятельности многофункциональных центров, а также организаций, предоставляющих иностранным гражданам юридические, социальные, образовательные и иные услуги;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совершенствование системы мер, обеспечивающих взаимное уважительное отношение мигрантов и принимающего сообщества в культурно-бытовой сфере;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8) в сфере совершенствования государственного управления: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повышение </w:t>
      </w:r>
      <w:r>
        <w:rPr>
          <w:rFonts w:ascii="Times New Roman" w:hAnsi="Times New Roman" w:eastAsia="Times New Roman"/>
          <w:sz w:val="28"/>
          <w:szCs w:val="28"/>
        </w:rPr>
        <w:t xml:space="preserve">эффективности системы координации деятельности исполнительных органов</w:t>
      </w:r>
      <w:r>
        <w:rPr>
          <w:rFonts w:ascii="Times New Roman" w:hAnsi="Times New Roman" w:eastAsia="Times New Roman"/>
          <w:sz w:val="28"/>
          <w:szCs w:val="28"/>
        </w:rPr>
        <w:t xml:space="preserve"> и органов местного самоуправления при реализации государственной национальной политики Российской Федерации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совершенствование взаимодействия исполнительных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</w:t>
      </w:r>
      <w:r>
        <w:rPr>
          <w:rFonts w:ascii="Times New Roman" w:hAnsi="Times New Roman" w:eastAsia="Times New Roman"/>
          <w:sz w:val="28"/>
          <w:szCs w:val="28"/>
        </w:rPr>
        <w:t xml:space="preserve">Федерации (российской нации), сохранения межнационального мира и согласия;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установление полн</w:t>
      </w:r>
      <w:r>
        <w:rPr>
          <w:rFonts w:ascii="Times New Roman" w:hAnsi="Times New Roman" w:eastAsia="Times New Roman"/>
          <w:sz w:val="28"/>
          <w:szCs w:val="28"/>
        </w:rPr>
        <w:t xml:space="preserve">омочий и ответственности руководителей и должностных лиц органов государственной власти и органов местного самоуправления в сфере профилактики экстремизма и раннего предупреждения межнациональных (межэтнических) и межрелигиозных конфликтов и напряженности;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активизация деятельности органов местного сам</w:t>
      </w:r>
      <w:r>
        <w:rPr>
          <w:rFonts w:ascii="Times New Roman" w:hAnsi="Times New Roman" w:eastAsia="Times New Roman"/>
          <w:sz w:val="28"/>
          <w:szCs w:val="28"/>
        </w:rPr>
        <w:t xml:space="preserve">оуправления в Чувашской Республике в сфере обеспечения прав и потребностей граждан, связанных с их этнической принадлежностью, гармонизации межнациональных отношений и профилактики этнополитического экстремизма, социальной и культурной адаптации мигрантов;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создание организационно-правовых и экономических условий для более активного участия институтов гражданского общества, в том числе межнациональных общественных объединений, национально-культурных автономий, иных </w:t>
      </w:r>
      <w:r>
        <w:rPr>
          <w:rFonts w:ascii="Times New Roman" w:hAnsi="Times New Roman" w:eastAsia="Times New Roman"/>
          <w:sz w:val="28"/>
          <w:szCs w:val="28"/>
        </w:rPr>
        <w:t xml:space="preserve">некоммерческих организаций, осуществляющих деятельность, направленную на гармонизацию межнациональных (межэтнических) и межрелигиозных отношений, в решении задач государственной национальной политики Российской Федерации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совершенствование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развитие системы мер раннего учета и предупреждения роста напряженности в межэтнических и межконфессиональных отношениях на основе аналитического мониторинга </w:t>
      </w:r>
      <w:r>
        <w:rPr>
          <w:rFonts w:ascii="Times New Roman" w:hAnsi="Times New Roman" w:eastAsia="Times New Roman"/>
          <w:sz w:val="28"/>
          <w:szCs w:val="28"/>
        </w:rPr>
        <w:t xml:space="preserve">этноконфессиональных</w:t>
      </w:r>
      <w:r>
        <w:rPr>
          <w:rFonts w:ascii="Times New Roman" w:hAnsi="Times New Roman" w:eastAsia="Times New Roman"/>
          <w:sz w:val="28"/>
          <w:szCs w:val="28"/>
        </w:rPr>
        <w:t xml:space="preserve"> процессов;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совершенствование законодательства Чувашской Республики в сфере государственной национальной политики Российской Федерации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эффективная реализация государстве</w:t>
      </w:r>
      <w:r>
        <w:rPr>
          <w:rFonts w:ascii="Times New Roman" w:hAnsi="Times New Roman" w:eastAsia="Times New Roman"/>
          <w:sz w:val="28"/>
          <w:szCs w:val="28"/>
        </w:rPr>
        <w:t xml:space="preserve">нной программы Российской Федерации «Реализация государственной национальной политики», направления (подпрограммы) «Реализация государственной национальной политики в Чувашской Республике» государственной программы Чувашской Республики «Развитие культуры»;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совершенствование научного и экспертного обеспечения реализации государственной национальной политики Российской Федерации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организация фундаментальных и прикладных ис</w:t>
      </w:r>
      <w:r>
        <w:rPr>
          <w:rFonts w:ascii="Times New Roman" w:hAnsi="Times New Roman" w:eastAsia="Times New Roman"/>
          <w:sz w:val="28"/>
          <w:szCs w:val="28"/>
        </w:rPr>
        <w:t xml:space="preserve">следований, выработка на их основе системы организационно-правовых мер по сохранению и поддержке этнических культур, развитию государственных языков Чувашской Республики и языков народов Российской Федерации, проживающих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sz w:val="28"/>
          <w:szCs w:val="28"/>
        </w:rPr>
        <w:t xml:space="preserve">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развитие этнокультурной инфраструктуры: домов дружбы народов, центров национальных культур народов Российской Федерации, проживающих на территории Чувашской Республики, </w:t>
      </w:r>
      <w:r>
        <w:rPr>
          <w:rFonts w:ascii="Times New Roman" w:hAnsi="Times New Roman" w:eastAsia="Times New Roman"/>
          <w:sz w:val="28"/>
          <w:szCs w:val="28"/>
        </w:rPr>
        <w:t xml:space="preserve">этнопарков</w:t>
      </w:r>
      <w:r>
        <w:rPr>
          <w:rFonts w:ascii="Times New Roman" w:hAnsi="Times New Roman" w:eastAsia="Times New Roman"/>
          <w:sz w:val="28"/>
          <w:szCs w:val="28"/>
        </w:rPr>
        <w:t xml:space="preserve">, иных государственных и муниципальных организаций, деятельность которых направлена на решение задач государственной национальной политики Российской Федерации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9) в сфере обеспечения участия институтов гражданского общества в реализации целей и задач государственной национальной политики Российской Федерации на территории Чувашской Республики: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привлечение Общественной палаты Чувашской Республики к выработке управленческих решений, направленных на реализацию государственной национальной политики Российской Федерации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участие общественных советов и иных консультативных органов, созданных при государственных органах и органах местного самоуправления, в деятельности</w:t>
      </w:r>
      <w:r>
        <w:rPr>
          <w:rFonts w:ascii="Times New Roman" w:hAnsi="Times New Roman" w:eastAsia="Times New Roman"/>
          <w:sz w:val="28"/>
          <w:szCs w:val="28"/>
        </w:rPr>
        <w:t xml:space="preserve">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Чувашской Республике и их интеграции в российское общество;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использование предусмотренных законодательством Российской Федерации, законодательством Чувашской Республики механизмов общественного </w:t>
      </w:r>
      <w:r>
        <w:rPr>
          <w:rFonts w:ascii="Times New Roman" w:hAnsi="Times New Roman" w:eastAsia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/>
          <w:sz w:val="28"/>
          <w:szCs w:val="28"/>
        </w:rPr>
        <w:t xml:space="preserve"> деятельностью государственных органов и органов местного самоуправления по реализации государственной национальной политики Российской Федерации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обеспечение открытости источников финансирования проектов, направленных на реализацию государственной национальной политики Российской Федерации на территории Чувашской Республики, разрабатываемых институтами гражданского общества;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вовлечение институтов гражданского общества, в том числе молодежных и детских общественных объединений, в проведение мероприятий по профилактике проявлений межнациональной (межэтнической) нетерпимости либо вражды;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поддержка волонтерской (добровольческой) деятельности, направленной на реализацию государственной национальной политики Российской Федерации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использование потенциала институтов гражданского общества, в том числе межнациональных общественных объединений, национально-</w:t>
      </w:r>
      <w:r>
        <w:rPr>
          <w:rFonts w:ascii="Times New Roman" w:hAnsi="Times New Roman" w:eastAsia="Times New Roman"/>
          <w:sz w:val="28"/>
          <w:szCs w:val="28"/>
        </w:rPr>
        <w:t xml:space="preserve">культурных организаций и иных 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поддержка деятельности общественных объединений национально-к</w:t>
      </w:r>
      <w:r>
        <w:rPr>
          <w:rFonts w:ascii="Times New Roman" w:hAnsi="Times New Roman" w:eastAsia="Times New Roman"/>
          <w:sz w:val="28"/>
          <w:szCs w:val="28"/>
        </w:rPr>
        <w:t xml:space="preserve">ультурной направленности, ассоциаций, фондов, национально-культурных автономий как важного средства выявления и обеспечения этнокультурных запросов граждан, достижения стабильности межнациональных отношений, предупреждения конфликтов на национальной почве;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обеспечение открытости и публичности рассмотрения ситуаций, связанных с конфликтами в сфере межнациональных (межэтнических) отношений, их непредвзятого и ответственного освещения в средствах массовой информации;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10)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сфере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информационного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обеспечения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политики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i/>
          <w:iCs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привлечение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средств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массовой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</w:rPr>
        <w:t xml:space="preserve"> Чувашской Республики,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освещающих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вопросы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политики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также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принятие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мер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стимулированию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создания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проектов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этой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создание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распространение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рекламной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информационной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продукции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целей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задач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политики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подготовка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профессиональная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переподготовка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повышение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квалификации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журналистов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освещающих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вопросы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политики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организация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проведение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конкурсов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лучшее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освещение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средствах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массовой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информации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вопросов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межнационального</w:t>
      </w:r>
      <w:r>
        <w:rPr>
          <w:rFonts w:ascii="Times New Roman" w:hAnsi="Times New Roman" w:eastAsia="Times New Roman"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межэтнического</w:t>
      </w:r>
      <w:r>
        <w:rPr>
          <w:rFonts w:ascii="Times New Roman" w:hAnsi="Times New Roman" w:eastAsia="Times New Roman"/>
          <w:sz w:val="28"/>
          <w:szCs w:val="28"/>
        </w:rPr>
        <w:t xml:space="preserve">),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межконфессионального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межкультурного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взаимодействия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/>
          <w:iCs/>
          <w:sz w:val="28"/>
          <w:szCs w:val="28"/>
        </w:rPr>
        <w:t xml:space="preserve">11) в сфере развития международного сотрудничества: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содействие формированию положительного образа Чувашской Республики за рубежом;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обеспечение изучения, популяризации и распространения за рубежом русского языка и российской культуры;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проведение мониторинга международных событий и деятельности международных организаций, способных оказать влияние на состояние межнациональных (межэтнических) отношений в Чувашской Республике;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содействие консолидации деятельности объединений соотечественников, проживающих за рубежом, в целях более эффективного обеспечения своих прав в государствах проживания, сохранению связей с исторической родиной;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оказание поддержки соотечественникам, проживающим за рубежом, в удовлетворении национально-культурных потребностей (этнокультурных потребностей) посредством расширения связей с национально-культурными общественными объединениями в Российской Федерации;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реализация мер, направленных на противодействие любым проявлениям неонацизма, современных форм расизма, национализма, ксе</w:t>
      </w:r>
      <w:r>
        <w:rPr>
          <w:rFonts w:ascii="Times New Roman" w:hAnsi="Times New Roman" w:eastAsia="Times New Roman"/>
          <w:sz w:val="28"/>
          <w:szCs w:val="28"/>
        </w:rPr>
        <w:t xml:space="preserve">нофобии, русофобии, а также попыткам фальсификации истории в целях нагнетания конфронтации и реваншизма в мировой политике, попыткам пересмотра итогов Второй мировой войны, умаления подвига советского народа в Великой Отечественной войне 1941 - 1945 годов;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использование ресурса общественной дипломатии посредством вовлечения институтов гражданского общества в решение задач международного культурного и гуманитарного сотрудничества как средства налаживания </w:t>
      </w:r>
      <w:r>
        <w:rPr>
          <w:rFonts w:ascii="Times New Roman" w:hAnsi="Times New Roman" w:eastAsia="Times New Roman"/>
          <w:sz w:val="28"/>
          <w:szCs w:val="28"/>
        </w:rPr>
        <w:t xml:space="preserve">межцивилизационного</w:t>
      </w:r>
      <w:r>
        <w:rPr>
          <w:rFonts w:ascii="Times New Roman" w:hAnsi="Times New Roman" w:eastAsia="Times New Roman"/>
          <w:sz w:val="28"/>
          <w:szCs w:val="28"/>
        </w:rPr>
        <w:t xml:space="preserve"> диалога, обеспечения взаимопонимания между народами;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взаимодействие с международными и неправительствен</w:t>
      </w:r>
      <w:r>
        <w:rPr>
          <w:rFonts w:ascii="Times New Roman" w:hAnsi="Times New Roman" w:eastAsia="Times New Roman"/>
          <w:sz w:val="28"/>
          <w:szCs w:val="28"/>
        </w:rPr>
        <w:t xml:space="preserve">ными организациями в целях обеспечения прав и защиты интересов национальных меньшинств, недопущения дискриминации по признаку расовой, национальной, языковой или религиозной принадлежности и использования двойных стандартов в толковании гражданских свобод;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укрепление международного сотрудничества в сферах регулирования миграционных процессов, обеспечения прав иностранных граждан в Российской Федерации и прав граждан Российской Федерации за рубежом;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использование возможностей и механизмов международного сотрудничества при реализации государственной национальной политики Российской Федерации на территории Чувашской Республики;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заключение с субъектами Российской Федерации договоров и соглашений по сотрудничеству в области образования, культуры, информации, государственной национальной политики, укреплению социально-экономических связей;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взаимодействие с международными, всероссийскими и региональными национальными объединениями в области реализации программ этнокультурного развития;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48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поддержка деятельности чувашских национально-культурных объединений в Российской Федерации и за рубежом по обеспечению своих прав в регионах и странах проживания, сохранению связей с исторической родиной.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Ожидаемые результаты к 2030 году:</w:t>
      </w:r>
      <w: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укрепление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единства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многонационального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нации</w:t>
      </w:r>
      <w:r>
        <w:rPr>
          <w:rFonts w:ascii="Times New Roman" w:hAnsi="Times New Roman" w:eastAsia="Times New Roman"/>
          <w:sz w:val="28"/>
          <w:szCs w:val="28"/>
        </w:rPr>
        <w:t xml:space="preserve">)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гражданской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идентичности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формирование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единого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пространства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предотвращение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мирное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разрешение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конфликтных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ситуаций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сфере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межнациональных</w:t>
      </w:r>
      <w:r>
        <w:rPr>
          <w:rFonts w:ascii="Times New Roman" w:hAnsi="Times New Roman" w:eastAsia="Times New Roman"/>
          <w:sz w:val="28"/>
          <w:szCs w:val="28"/>
        </w:rPr>
        <w:t xml:space="preserve"> (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межэтнических</w:t>
      </w:r>
      <w:r>
        <w:rPr>
          <w:rFonts w:ascii="Times New Roman" w:hAnsi="Times New Roman" w:eastAsia="Times New Roman"/>
          <w:sz w:val="28"/>
          <w:szCs w:val="28"/>
        </w:rPr>
        <w:t xml:space="preserve">)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межрелигиозных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отношений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укрепление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статуса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русского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чувашского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языков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как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языков</w:t>
      </w:r>
      <w:r>
        <w:rPr>
          <w:rFonts w:ascii="Times New Roman" w:hAnsi="Times New Roman" w:eastAsia="Times New Roman"/>
          <w:sz w:val="28"/>
          <w:szCs w:val="28"/>
        </w:rPr>
        <w:t xml:space="preserve"> Чуваш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применяемых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Чуваш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качестве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средства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осуществлении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полномочий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органами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власти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органами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местного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самоуправления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сферах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языкового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обеспечение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условий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сохранения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изучения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развития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языков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,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проживающих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Чуваш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создание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условий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социальной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культурной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адаптации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иностранных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граждан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Чуваш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интеграции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общество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Times New Roman" w:eastAsia="Times New Roman"/>
          <w:sz w:val="28"/>
          <w:szCs w:val="28"/>
        </w:rPr>
        <w:t xml:space="preserve">повышение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эффективности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межрегионального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международного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сотрудничества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сфере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национальной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политики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Российской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территории</w:t>
      </w:r>
      <w:r>
        <w:rPr>
          <w:rFonts w:ascii="Times New Roman" w:hAnsi="Times New Roman" w:eastAsia="Times New Roman"/>
          <w:sz w:val="28"/>
          <w:szCs w:val="28"/>
        </w:rPr>
        <w:t xml:space="preserve"> Чувашс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кой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/>
          <w:sz w:val="28"/>
          <w:szCs w:val="28"/>
        </w:rPr>
        <w:t xml:space="preserve">Республики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7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76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Архивное дело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>
        <w:rPr>
          <w:rFonts w:ascii="Times New Roman" w:hAnsi="Times New Roman"/>
          <w:b/>
          <w:sz w:val="28"/>
          <w:szCs w:val="28"/>
          <w:highlight w:val="yellow"/>
        </w:rPr>
      </w:r>
      <w:r>
        <w:rPr>
          <w:rFonts w:ascii="Times New Roman" w:hAnsi="Times New Roman"/>
          <w:b/>
          <w:sz w:val="28"/>
          <w:szCs w:val="28"/>
          <w:highlight w:val="yellow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Чувашской Республике действуют 2 </w:t>
      </w:r>
      <w:r>
        <w:rPr>
          <w:rFonts w:ascii="Times New Roman" w:hAnsi="Times New Roman" w:eastAsia="Times New Roman"/>
          <w:sz w:val="28"/>
          <w:szCs w:val="28"/>
        </w:rPr>
        <w:t xml:space="preserve">государственных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и 24 муниципальных архива. Архивы республики хранят уникальное документальное наследие, охватывающее историю Чувашского края, с 1639 г. по настоящее время. На 1 января 2025 г. об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ъем хранимых архивных документов составляет 3,3 млн. единиц хранения, в том числе 0,754 млн. единиц хранения документов по личному составу ликвидированных организаций. В списке источников комплектования архивов насчитывается 890 организаций всех отраслей.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Архивные документы активно используются в решении социальных проблем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населения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как Чувашской Республики, так и других субъектов Российской Федерации и стран зарубежья. В целях соблюдения конституционных прав граждан на социальное обеспечение за 2020 – 2024 гг. исполнено более 220,0 тыс. запросов социально-правового характера.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Государ</w:t>
      </w:r>
      <w:r>
        <w:rPr>
          <w:rFonts w:ascii="Times New Roman" w:hAnsi="Times New Roman" w:eastAsia="Times New Roman"/>
          <w:sz w:val="28"/>
          <w:szCs w:val="28"/>
        </w:rPr>
        <w:t xml:space="preserve">ственными архивами Чувашской Республики и муниципальными архивами большое значение придается использованию архивных документов в целях реализации Основ государственной политики по сохранению и укреплению традиционных российских духовно-нравственных ценност</w:t>
      </w:r>
      <w:r>
        <w:rPr>
          <w:rFonts w:ascii="Times New Roman" w:hAnsi="Times New Roman" w:eastAsia="Times New Roman"/>
          <w:sz w:val="28"/>
          <w:szCs w:val="28"/>
        </w:rPr>
        <w:t xml:space="preserve">ей, утвержденных Указом Президента Российской Федерации от 9 ноября 2022 г. № 809, а также Основ государственной политики Российской Федерации в области исторического просвещения, утвержденных Указом Президента Российской Федерации от 8 мая 2024 г. № 314</w:t>
      </w:r>
      <w:r>
        <w:rPr>
          <w:rFonts w:ascii="Times New Roman" w:hAnsi="Times New Roman" w:eastAsia="Times New Roman"/>
          <w:sz w:val="28"/>
          <w:szCs w:val="28"/>
        </w:rPr>
        <w:t xml:space="preserve">. За 2023-2024 гг. проведено свыше 6 тыс. информационных мероприятий, подготовленных на основе архивных документов, в которых приняло участие более 84 тыс. человек.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читальных залах архивов ежег</w:t>
      </w:r>
      <w:r>
        <w:rPr>
          <w:rFonts w:ascii="Times New Roman" w:hAnsi="Times New Roman" w:eastAsia="Times New Roman"/>
          <w:sz w:val="28"/>
          <w:szCs w:val="28"/>
        </w:rPr>
        <w:t xml:space="preserve">одно обслуживается более 14,0 тыс. человек. Высокий уровень востребованности архивных документов у широких слоев общества обуславливает ежегодный 5-10% прирост к архивной информации пользователей, число которых в 2024 году достигло более 103,7 тыс. человек.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Архивы Чувашии сделали значительный шаг в реализации проекта по масштабному представлению государ</w:t>
      </w:r>
      <w:r>
        <w:rPr>
          <w:rFonts w:ascii="Times New Roman" w:hAnsi="Times New Roman" w:eastAsia="Times New Roman"/>
          <w:sz w:val="28"/>
          <w:szCs w:val="28"/>
        </w:rPr>
        <w:t xml:space="preserve">ственных и муниципальных архивов региона в сети «Интернет». Пользователям предоставляется доступ научно-справочному аппарату архивов в удаленном режиме посредством ПИК «КАИСА-Архив», тематических указателей и баз данных, электронных версий путеводителей и 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Web</w:t>
      </w:r>
      <w:r>
        <w:rPr>
          <w:rFonts w:ascii="Times New Roman" w:hAnsi="Times New Roman" w:eastAsia="Times New Roman"/>
          <w:sz w:val="28"/>
          <w:szCs w:val="28"/>
        </w:rPr>
        <w:t xml:space="preserve">-архива, которые обеспечивают широкие возможности поиска архивных сведений.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2025 году из республиканского бюджета Чувашской Республики выделены значительные финансовые ресурсы на оцифровку документов Архивного фонда Чувашской Республики.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Осуществляется региональный государственный контроль (надзор) за соблюдением законодательства об архивном деле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проблемы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не развита система по созданию удалённого доступа к архивным документам для граждан, повышению их удовлетворенности в информационных услугах архивов;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низкие темпы перевода в цифровой формат архивных документов, особенно в муниципальных архивах;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ухудшение физического состояния документов Архивного фонда Чувашской Республики вследствие интенсивного использования;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высокая степень загруженности архивохранилищ 12 муниципальных архивов создает угрозу утраты значительного комплекса архивных документов на стадии ведомственного хранения;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не развита система по хранению электронных документов в государственных архивах Чувашской Республики и муниципальных архивах.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709"/>
        <w:jc w:val="both"/>
        <w:widowControl w:val="o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Основные направления развития: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активизация создания электронных образов документов с последующим предоставлением их пользователям, в том числе в удаленном режиме;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увеличение количества реставрируемых архивных документов;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своевременное комплектование документами, относимыми к составу Архивного фонда Чувашской Республики, в том числе документами в электронной форме;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повышение доли архивных документов, находящихся в условиях, обеспечивающих их постоянное (вечное) хранение;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повышение эффективности регионального государственного контроля (надзора) за соблюдением законодательства об архивном деле.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Ожидаемые результаты к 2030 году:</w:t>
      </w: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повышение уровня сохранности, безопасности и антитеррористической защищенности архивных документов;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внедрение системы удаленного доступа к архивным документам и электронного читального зала;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повышение роли архивов в мероприятиях, проводимых в рамках реализации государственной политики в области патриотического воспитания и исторического просвещения;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увеличение доли принятых в государственные архивы Чувашской Республики и в муниципальные архивы документов Архивного фонда Чувашской Республики в общем объеме документации, подлежащей приему, до 100%;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увеличение доли архивных документов, подвергнутых реставрационной обработке, в общем объеме подлежащих реставрации документов, до 50 %;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увеличение среднего числа пользователей архивной информацией на 10 тыс. человек населения, до 800 человек.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0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III.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Механизмы реализации Стратегии 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Для достижения целей и приоритетных направлений реализации Стратегии будут применяться следующие основные механизмы: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разработка плана мероприятий по реализации Стратегии;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совершенствование законодательства, принятие иных мер нормативно-правового характера, направленных на повышение ресурсной базы реализации государственной культурной политики, использования цифровых ресурсов, повышения качества управления;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осуществление оценки состояния и контроля эффективности реализации государственной культурной политики, включающей показатели эффективности работы руководителей в сфере культуры;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совершенствование мер государственной поддержки, выравнивание региональных диспропорций, привлечение корпоративных и частных инвестиций, развитие креативных (творческих) индустрий, развитие мер государственно-частного партнерства в сфере культуры.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Стратегия предусматривает вовлечение в процессы реализации государственной культурной политики профессиональных союзов, общественных организаций, ассоциаций, представителей экспертных сообществ, на протяжении многих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лет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успешно взаимодействующих с органами государственной власти, таких как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регионального отделения Общероссийской общественной организации «Союз театральных деятелей Российской Федерации (Всероссийское театральное общество)» - «Союз театральных деятелей Чувашской Республики», общественной организации «Союз профессиональных писате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лей Чувашской Республики», Чувашской республиканской общественной организации «Союз писателей Чувашской Республики», регионального отделения «Союз художников Чувашии» Всероссийской творческой общественной организации «Союз художников России», Чуваш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ской республиканской общественной организации «Союз чувашских художников»,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регионального отделения Общероссийской общественно-государственной организации «Ассамблея народов России» Чувашской Республики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r>
    </w:p>
    <w:p>
      <w:pPr>
        <w:ind w:firstLine="709"/>
        <w:jc w:val="center"/>
        <w:widowControl w:val="off"/>
        <w:rPr>
          <w:rFonts w:ascii="Times New Roman" w:hAnsi="Times New Roman" w:eastAsia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IV. Целевые показатели реализации Стратегии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pStyle w:val="990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Достижение целей, задач и приоритетов Стратегии оценивается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следующими целевыми показателями: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уровень обеспеченности организациями культуры - 100 процентов показателей, установленных нормативами и нормами оптимального размещения организаций культуры и обеспеченности населения услугами организаций культуры;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доля зданий учреждений культуры, находящихся в удовлетворительном состоянии, - 92,3 процента  в общем количестве зданий таких учреждений,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доля созданных, реконструированных объектов культуры от общего количества таких объектов, запланированных к вводу до 2030 года, - 100 процентов.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создание детских культурно-просветительских центров на базе учреждений культуры - 19 единиц;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доля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удовлетворительном состоянии, - до 95,3 процента к 2030 году;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отношение средней заработной платы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Чувашской Республике - 100 процентов;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число посещений культурных мероприятий организаций культуры - 29089 тысяч единиц;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число обращений к цифровым ресурсам в сфере культуры - 4 млн. обращений.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увеличение числа посещений организаций культуры по отношению к 2023 году - 135 процентов;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уровень удовлетворенности граждан работой государственных и муниципальных организаций культуры, искусства и народного творчества - 47,7 процентов;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доля документов Архивного фонда Чувашской Республики, находящихся в условиях, обеспечивающих их постоянное (вечное) хранение - 100 процентов к 2030 году;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Чувашской Республике, - 82,0 процента;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уровень общероссийской гражданской идентичности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 -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82,0 процента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center"/>
        <w:widowControl w:val="off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center"/>
        <w:widowControl w:val="off"/>
        <w:rPr>
          <w:b/>
          <w:bCs/>
        </w:rPr>
        <w:outlineLvl w:val="1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center"/>
        <w:widowControl w:val="off"/>
        <w:rPr>
          <w:rFonts w:ascii="Times New Roman" w:hAnsi="Times New Roman" w:eastAsia="Times New Roman"/>
          <w:b/>
          <w:bCs/>
          <w:sz w:val="28"/>
          <w:szCs w:val="28"/>
        </w:rPr>
        <w:outlineLvl w:val="1"/>
      </w:pPr>
      <w:r>
        <w:rPr>
          <w:b/>
          <w:bCs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V.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Ожидаемые результаты реализации Стратегии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Результатами реализации Стратегии должны стать: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продвижение и защита традиционных российских духовно-нравственных ценностей  в сфере культуры, искусства и народного творчества</w:t>
      </w:r>
      <w:r>
        <w:rPr>
          <w:rFonts w:ascii="Liberation Sans" w:hAnsi="Liberation Sans" w:eastAsia="Liberation Sans" w:cs="Liberation Sans"/>
          <w:color w:val="333333"/>
        </w:rPr>
        <w:t xml:space="preserve">;</w:t>
      </w:r>
      <w:r>
        <w:rPr>
          <w:rFonts w:ascii="Liberation Sans" w:hAnsi="Liberation Sans" w:eastAsia="Liberation Sans" w:cs="Liberation Sans"/>
          <w:color w:val="333333"/>
          <w:highlight w:val="white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обеспечение использования исторического и культурного наследия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народов Российской Федерации для воспитания и образования подрастающего поколения, неприятия гражданами навязываемых извне деструктивных идей, стереотипов и моделей поведения;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представление гражданам дополнительных возможностей для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посещения и участия в культурно-просветительских  мероприятиях  и для обеспечения семейного досуга </w:t>
      </w:r>
      <w:r>
        <w:rPr>
          <w:rFonts w:ascii="Times New Roman" w:hAnsi="Times New Roman" w:eastAsia="Times New Roman"/>
          <w:i/>
          <w:iCs/>
          <w:color w:val="auto"/>
        </w:rPr>
        <w:t xml:space="preserve">(национальный проект «Семья»)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auto"/>
          <w:sz w:val="28"/>
          <w:szCs w:val="28"/>
        </w:rPr>
        <w:t xml:space="preserve">представление гражданам возможности </w:t>
      </w:r>
      <w:r>
        <w:rPr>
          <w:rFonts w:ascii="Times New Roman" w:hAnsi="Times New Roman" w:eastAsia="Times New Roman"/>
          <w:color w:val="auto"/>
          <w:sz w:val="28"/>
          <w:szCs w:val="28"/>
        </w:rPr>
        <w:t xml:space="preserve">рас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ширения доступа к творческим мероприятиям,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направленным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в том числе на сохранение семейных ценностей  </w:t>
      </w:r>
      <w:r>
        <w:rPr>
          <w:rFonts w:ascii="Times New Roman" w:hAnsi="Times New Roman" w:eastAsia="Times New Roman"/>
          <w:i/>
          <w:iCs/>
          <w:color w:val="000000" w:themeColor="text1"/>
        </w:rPr>
        <w:t xml:space="preserve">(национальный проект «Семья»)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обеспечение максимально широкого доступа населения к объектам исторического, научного и культурного наследия народов Российской Федерации, собранным в Национальной электронной библиотеке и иных государственных информационных системах;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создание эффективной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ресурсно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обеспеченной системы сохранения объектов культурного наследия, позволяющей снижать долю находящихся в неудовлетворительном или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руинированном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состоянии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расширение участия профессиональных сообществ, институтов гражданского общества, творческих союзов и объединений, некоммерческих организаций, осуществляющих деятельность в области культуры, в реализации государственной культурной политики;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уве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личение доли внебюджетных инвестиций в совокупных расходах на культуру, в том числе за счет развития государственно-частного партнерства, мер по стимулированию благотворительной деятельности, меценатства, применения иных механизмов финансирования культуры;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Оценка хода и результ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атов реализации государственной культурной политики отражается в ежегодном отчете о ходе реализации государственной программы Чувашской Республики «Развитие культуры», документах о ходе реализации национального проекта «Семья», в иных  отчетных документах.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99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709"/>
        <w:jc w:val="center"/>
        <w:widowControl w:val="off"/>
        <w:rPr>
          <w:rFonts w:ascii="Times New Roman" w:hAnsi="Times New Roman" w:eastAsia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V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. Ресурсное обеспечение, этапы 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 w:eastAsia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и механизмы реализации Стратегии 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Основным источником, обеспечивающим реализацию Стратегии, является государственная программа Чувашской Республики «Развитие культуры». Достижение целей и задач Стратегии осуществляется на основе планов мероприятий по ее реализации.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Финансовое обеспечение расходов, связанных с реализацией планов, будет осуществляться в пределах бюджетных ассигнований, пред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усмотренных исполнительным органам Чувашской Республики - ответственным исполнителям мероприятий планов, в республиканском бюджете Чувашской Республики  на соответствующий финансовый год и плановый период, за счет средств местных бюджетов, а также за счет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внебюджетных источников.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Достижение целей и задач, предусмотренных Стратегией,  предполагается осуществлять в один этап в период 2025–2030 годов.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Управление реализацией Стратегии осуществляет Министерство культуры, по делам национальностей и архивное дело Чувашской Республики. 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Корректировка Стратегии осуществляется по мере необходимости и обеспечивается в зависимости от изменения факторов, оказывающих влияние на реализацию мероприятий Стратегии, достижения поставленных целей и задач  развития государственной культурной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политики  на период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до 2030 года.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Еж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егодный доклад о ходе реализации Стратегии представляется в установленном порядке до 1 мая года, следующего за отчетным, в Кабинет Министров Чувашской Республики, а также подлежит обсуждению на совместном заседании коллегии Минкультуры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Чувашии и Общественного совета при Минкультуры Чувашии, комиссии при Высшем экономическом совете Чувашской Республики по реализации государственной программы Чувашской Республики «Развитие культуры» и Комплексной программы социально-экономического развития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Чувашской Республики на 2025 – 2030 годы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общественности о ходе реализации Стратегии осуществляется путем размещения доклада на сайте в информационно–телекоммуникационной сети «Интернет».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center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_______________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ind w:firstLine="709"/>
        <w:jc w:val="center"/>
        <w:rPr>
          <w:rFonts w:ascii="PT Astra Serif" w:hAnsi="PT Astra Serif" w:eastAsia="PT Astra Serif" w:cs="PT Astra Serif"/>
          <w:b/>
          <w:bCs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6"/>
          <w:szCs w:val="26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6"/>
          <w:szCs w:val="26"/>
        </w:rPr>
      </w:r>
    </w:p>
    <w:p>
      <w:pPr>
        <w:pStyle w:val="992"/>
        <w:jc w:val="center"/>
        <w:outlineLvl w:val="1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Segoe UI">
    <w:panose1 w:val="020B0502040504020204"/>
  </w:font>
  <w:font w:name="Courier New">
    <w:panose1 w:val="02070409020205020404"/>
  </w:font>
  <w:font w:name="TimesET">
    <w:panose1 w:val="02000603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Baltica Chv">
    <w:panose1 w:val="02000603000000000000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02573714"/>
      <w:docPartObj>
        <w:docPartGallery w:val="Page Numbers (Top of Page)"/>
        <w:docPartUnique w:val="true"/>
      </w:docPartObj>
      <w:rPr/>
    </w:sdtPr>
    <w:sdtContent>
      <w:p>
        <w:pPr>
          <w:pStyle w:val="98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</w:sdtContent>
  </w:sdt>
  <w:p>
    <w:pPr>
      <w:pStyle w:val="9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418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47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1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0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7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35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8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2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23"/>
  </w:num>
  <w:num w:numId="5">
    <w:abstractNumId w:val="10"/>
  </w:num>
  <w:num w:numId="6">
    <w:abstractNumId w:val="8"/>
  </w:num>
  <w:num w:numId="7">
    <w:abstractNumId w:val="16"/>
  </w:num>
  <w:num w:numId="8">
    <w:abstractNumId w:val="32"/>
  </w:num>
  <w:num w:numId="9">
    <w:abstractNumId w:val="3"/>
  </w:num>
  <w:num w:numId="10">
    <w:abstractNumId w:val="39"/>
  </w:num>
  <w:num w:numId="11">
    <w:abstractNumId w:val="33"/>
  </w:num>
  <w:num w:numId="12">
    <w:abstractNumId w:val="6"/>
  </w:num>
  <w:num w:numId="13">
    <w:abstractNumId w:val="37"/>
  </w:num>
  <w:num w:numId="14">
    <w:abstractNumId w:val="7"/>
  </w:num>
  <w:num w:numId="15">
    <w:abstractNumId w:val="14"/>
  </w:num>
  <w:num w:numId="16">
    <w:abstractNumId w:val="12"/>
  </w:num>
  <w:num w:numId="17">
    <w:abstractNumId w:val="29"/>
  </w:num>
  <w:num w:numId="18">
    <w:abstractNumId w:val="38"/>
  </w:num>
  <w:num w:numId="19">
    <w:abstractNumId w:val="28"/>
  </w:num>
  <w:num w:numId="2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4"/>
  </w:num>
  <w:num w:numId="24">
    <w:abstractNumId w:val="22"/>
  </w:num>
  <w:num w:numId="25">
    <w:abstractNumId w:val="0"/>
  </w:num>
  <w:num w:numId="26">
    <w:abstractNumId w:val="11"/>
  </w:num>
  <w:num w:numId="27">
    <w:abstractNumId w:val="2"/>
  </w:num>
  <w:num w:numId="28">
    <w:abstractNumId w:val="5"/>
  </w:num>
  <w:num w:numId="29">
    <w:abstractNumId w:val="31"/>
  </w:num>
  <w:num w:numId="30">
    <w:abstractNumId w:val="17"/>
  </w:num>
  <w:num w:numId="31">
    <w:abstractNumId w:val="26"/>
  </w:num>
  <w:num w:numId="32">
    <w:abstractNumId w:val="15"/>
  </w:num>
  <w:num w:numId="33">
    <w:abstractNumId w:val="19"/>
  </w:num>
  <w:num w:numId="34">
    <w:abstractNumId w:val="20"/>
  </w:num>
  <w:num w:numId="35">
    <w:abstractNumId w:val="35"/>
  </w:num>
  <w:num w:numId="36">
    <w:abstractNumId w:val="24"/>
  </w:num>
  <w:num w:numId="37">
    <w:abstractNumId w:val="25"/>
  </w:num>
  <w:num w:numId="38">
    <w:abstractNumId w:val="13"/>
  </w:num>
  <w:num w:numId="39">
    <w:abstractNumId w:val="36"/>
  </w:num>
  <w:num w:numId="40">
    <w:abstractNumId w:val="34"/>
  </w:num>
  <w:num w:numId="41">
    <w:abstractNumId w:val="3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1">
    <w:name w:val="Caption Char"/>
    <w:basedOn w:val="772"/>
    <w:link w:val="828"/>
    <w:uiPriority w:val="35"/>
    <w:rPr>
      <w:b/>
      <w:bCs/>
      <w:color w:val="4f81bd" w:themeColor="accent1"/>
      <w:sz w:val="18"/>
      <w:szCs w:val="18"/>
    </w:rPr>
  </w:style>
  <w:style w:type="paragraph" w:styleId="762" w:default="1">
    <w:name w:val="Normal"/>
    <w:qFormat/>
    <w:pPr>
      <w:spacing w:after="0" w:line="240" w:lineRule="auto"/>
    </w:pPr>
    <w:rPr>
      <w:rFonts w:ascii="Baltica Chv" w:hAnsi="Baltica Chv" w:eastAsia="Calibri" w:cs="Times New Roman"/>
      <w:sz w:val="24"/>
      <w:szCs w:val="24"/>
      <w:lang w:eastAsia="ru-RU"/>
    </w:rPr>
  </w:style>
  <w:style w:type="paragraph" w:styleId="763">
    <w:name w:val="Heading 1"/>
    <w:basedOn w:val="762"/>
    <w:next w:val="762"/>
    <w:link w:val="8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4">
    <w:name w:val="Heading 2"/>
    <w:basedOn w:val="762"/>
    <w:next w:val="762"/>
    <w:link w:val="8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5">
    <w:name w:val="Heading 3"/>
    <w:basedOn w:val="762"/>
    <w:next w:val="762"/>
    <w:link w:val="8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next w:val="762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8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8">
    <w:name w:val="Heading 6"/>
    <w:basedOn w:val="762"/>
    <w:next w:val="762"/>
    <w:link w:val="8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762"/>
    <w:next w:val="762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762"/>
    <w:next w:val="762"/>
    <w:link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762"/>
    <w:next w:val="762"/>
    <w:link w:val="8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table" w:styleId="775" w:customStyle="1">
    <w:name w:val="Plain Table 1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Plain Table 2"/>
    <w:basedOn w:val="7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Plain Table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Plain Table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Plain Table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1 Light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5 Dark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6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7 Colorful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94" w:customStyle="1">
    <w:name w:val="Heading 1 Char"/>
    <w:basedOn w:val="772"/>
    <w:uiPriority w:val="9"/>
    <w:rPr>
      <w:rFonts w:ascii="Arial" w:hAnsi="Arial" w:eastAsia="Arial" w:cs="Arial"/>
      <w:sz w:val="40"/>
      <w:szCs w:val="40"/>
    </w:rPr>
  </w:style>
  <w:style w:type="character" w:styleId="795" w:customStyle="1">
    <w:name w:val="Heading 2 Char"/>
    <w:basedOn w:val="772"/>
    <w:uiPriority w:val="9"/>
    <w:rPr>
      <w:rFonts w:ascii="Arial" w:hAnsi="Arial" w:eastAsia="Arial" w:cs="Arial"/>
      <w:sz w:val="34"/>
    </w:rPr>
  </w:style>
  <w:style w:type="character" w:styleId="796" w:customStyle="1">
    <w:name w:val="Heading 3 Char"/>
    <w:basedOn w:val="772"/>
    <w:uiPriority w:val="9"/>
    <w:rPr>
      <w:rFonts w:ascii="Arial" w:hAnsi="Arial" w:eastAsia="Arial" w:cs="Arial"/>
      <w:sz w:val="30"/>
      <w:szCs w:val="30"/>
    </w:rPr>
  </w:style>
  <w:style w:type="character" w:styleId="797" w:customStyle="1">
    <w:name w:val="Heading 4 Char"/>
    <w:basedOn w:val="772"/>
    <w:uiPriority w:val="9"/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Heading 5 Char"/>
    <w:basedOn w:val="772"/>
    <w:uiPriority w:val="9"/>
    <w:rPr>
      <w:rFonts w:ascii="Arial" w:hAnsi="Arial" w:eastAsia="Arial" w:cs="Arial"/>
      <w:b/>
      <w:bCs/>
      <w:sz w:val="24"/>
      <w:szCs w:val="24"/>
    </w:rPr>
  </w:style>
  <w:style w:type="character" w:styleId="799" w:customStyle="1">
    <w:name w:val="Heading 6 Char"/>
    <w:basedOn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800" w:customStyle="1">
    <w:name w:val="Heading 7 Char"/>
    <w:basedOn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 w:customStyle="1">
    <w:name w:val="Heading 8 Char"/>
    <w:basedOn w:val="772"/>
    <w:uiPriority w:val="9"/>
    <w:rPr>
      <w:rFonts w:ascii="Arial" w:hAnsi="Arial" w:eastAsia="Arial" w:cs="Arial"/>
      <w:i/>
      <w:iCs/>
      <w:sz w:val="22"/>
      <w:szCs w:val="22"/>
    </w:rPr>
  </w:style>
  <w:style w:type="character" w:styleId="802" w:customStyle="1">
    <w:name w:val="Heading 9 Char"/>
    <w:basedOn w:val="772"/>
    <w:uiPriority w:val="9"/>
    <w:rPr>
      <w:rFonts w:ascii="Arial" w:hAnsi="Arial" w:eastAsia="Arial" w:cs="Arial"/>
      <w:i/>
      <w:iCs/>
      <w:sz w:val="21"/>
      <w:szCs w:val="21"/>
    </w:rPr>
  </w:style>
  <w:style w:type="character" w:styleId="803" w:customStyle="1">
    <w:name w:val="Title Char"/>
    <w:basedOn w:val="772"/>
    <w:uiPriority w:val="10"/>
    <w:rPr>
      <w:sz w:val="48"/>
      <w:szCs w:val="48"/>
    </w:rPr>
  </w:style>
  <w:style w:type="character" w:styleId="804" w:customStyle="1">
    <w:name w:val="Subtitle Char"/>
    <w:basedOn w:val="772"/>
    <w:uiPriority w:val="11"/>
    <w:rPr>
      <w:sz w:val="24"/>
      <w:szCs w:val="24"/>
    </w:rPr>
  </w:style>
  <w:style w:type="character" w:styleId="805" w:customStyle="1">
    <w:name w:val="Quote Char"/>
    <w:uiPriority w:val="29"/>
    <w:rPr>
      <w:i/>
    </w:rPr>
  </w:style>
  <w:style w:type="character" w:styleId="806" w:customStyle="1">
    <w:name w:val="Intense Quote Char"/>
    <w:uiPriority w:val="30"/>
    <w:rPr>
      <w:i/>
    </w:rPr>
  </w:style>
  <w:style w:type="character" w:styleId="807" w:customStyle="1">
    <w:name w:val="Footnote Text Char"/>
    <w:uiPriority w:val="99"/>
    <w:rPr>
      <w:sz w:val="18"/>
    </w:rPr>
  </w:style>
  <w:style w:type="character" w:styleId="808" w:customStyle="1">
    <w:name w:val="Endnote Text Char"/>
    <w:uiPriority w:val="99"/>
    <w:rPr>
      <w:sz w:val="20"/>
    </w:rPr>
  </w:style>
  <w:style w:type="character" w:styleId="809" w:customStyle="1">
    <w:name w:val="Заголовок 1 Знак"/>
    <w:basedOn w:val="772"/>
    <w:link w:val="763"/>
    <w:uiPriority w:val="9"/>
    <w:rPr>
      <w:rFonts w:ascii="Arial" w:hAnsi="Arial" w:eastAsia="Arial" w:cs="Arial"/>
      <w:sz w:val="40"/>
      <w:szCs w:val="40"/>
    </w:rPr>
  </w:style>
  <w:style w:type="character" w:styleId="810" w:customStyle="1">
    <w:name w:val="Заголовок 2 Знак"/>
    <w:basedOn w:val="772"/>
    <w:link w:val="764"/>
    <w:uiPriority w:val="9"/>
    <w:rPr>
      <w:rFonts w:ascii="Arial" w:hAnsi="Arial" w:eastAsia="Arial" w:cs="Arial"/>
      <w:sz w:val="34"/>
    </w:rPr>
  </w:style>
  <w:style w:type="character" w:styleId="811" w:customStyle="1">
    <w:name w:val="Заголовок 3 Знак"/>
    <w:basedOn w:val="772"/>
    <w:link w:val="765"/>
    <w:uiPriority w:val="9"/>
    <w:rPr>
      <w:rFonts w:ascii="Arial" w:hAnsi="Arial" w:eastAsia="Arial" w:cs="Arial"/>
      <w:sz w:val="30"/>
      <w:szCs w:val="30"/>
    </w:rPr>
  </w:style>
  <w:style w:type="character" w:styleId="812" w:customStyle="1">
    <w:name w:val="Заголовок 4 Знак"/>
    <w:basedOn w:val="772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813" w:customStyle="1">
    <w:name w:val="Заголовок 5 Знак"/>
    <w:basedOn w:val="772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814" w:customStyle="1">
    <w:name w:val="Заголовок 6 Знак"/>
    <w:basedOn w:val="772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815" w:customStyle="1">
    <w:name w:val="Заголовок 7 Знак"/>
    <w:basedOn w:val="772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6" w:customStyle="1">
    <w:name w:val="Заголовок 8 Знак"/>
    <w:basedOn w:val="772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817" w:customStyle="1">
    <w:name w:val="Заголовок 9 Знак"/>
    <w:basedOn w:val="772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818">
    <w:name w:val="Title"/>
    <w:basedOn w:val="762"/>
    <w:next w:val="762"/>
    <w:link w:val="8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9" w:customStyle="1">
    <w:name w:val="Название Знак"/>
    <w:basedOn w:val="772"/>
    <w:link w:val="818"/>
    <w:uiPriority w:val="10"/>
    <w:rPr>
      <w:sz w:val="48"/>
      <w:szCs w:val="48"/>
    </w:rPr>
  </w:style>
  <w:style w:type="paragraph" w:styleId="820">
    <w:name w:val="Subtitle"/>
    <w:basedOn w:val="762"/>
    <w:next w:val="762"/>
    <w:link w:val="821"/>
    <w:uiPriority w:val="11"/>
    <w:qFormat/>
    <w:pPr>
      <w:spacing w:before="200" w:after="200"/>
    </w:pPr>
  </w:style>
  <w:style w:type="character" w:styleId="821" w:customStyle="1">
    <w:name w:val="Подзаголовок Знак"/>
    <w:basedOn w:val="772"/>
    <w:link w:val="820"/>
    <w:uiPriority w:val="11"/>
    <w:rPr>
      <w:sz w:val="24"/>
      <w:szCs w:val="24"/>
    </w:rPr>
  </w:style>
  <w:style w:type="paragraph" w:styleId="822">
    <w:name w:val="Quote"/>
    <w:basedOn w:val="762"/>
    <w:next w:val="762"/>
    <w:link w:val="823"/>
    <w:uiPriority w:val="29"/>
    <w:qFormat/>
    <w:pPr>
      <w:ind w:left="720" w:right="720"/>
    </w:pPr>
    <w:rPr>
      <w:i/>
    </w:rPr>
  </w:style>
  <w:style w:type="character" w:styleId="823" w:customStyle="1">
    <w:name w:val="Цитата 2 Знак"/>
    <w:link w:val="822"/>
    <w:uiPriority w:val="29"/>
    <w:rPr>
      <w:i/>
    </w:rPr>
  </w:style>
  <w:style w:type="paragraph" w:styleId="824">
    <w:name w:val="Intense Quote"/>
    <w:basedOn w:val="762"/>
    <w:next w:val="762"/>
    <w:link w:val="8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5" w:customStyle="1">
    <w:name w:val="Выделенная цитата Знак"/>
    <w:link w:val="824"/>
    <w:uiPriority w:val="30"/>
    <w:rPr>
      <w:i/>
    </w:rPr>
  </w:style>
  <w:style w:type="character" w:styleId="826" w:customStyle="1">
    <w:name w:val="Header Char"/>
    <w:basedOn w:val="772"/>
    <w:uiPriority w:val="99"/>
  </w:style>
  <w:style w:type="character" w:styleId="827" w:customStyle="1">
    <w:name w:val="Footer Char"/>
    <w:basedOn w:val="772"/>
    <w:uiPriority w:val="99"/>
  </w:style>
  <w:style w:type="paragraph" w:styleId="828">
    <w:name w:val="Caption"/>
    <w:basedOn w:val="762"/>
    <w:next w:val="762"/>
    <w:link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9" w:customStyle="1">
    <w:name w:val="Название объекта Знак"/>
    <w:link w:val="828"/>
    <w:uiPriority w:val="99"/>
  </w:style>
  <w:style w:type="table" w:styleId="830">
    <w:name w:val="Table Grid"/>
    <w:basedOn w:val="7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1" w:customStyle="1">
    <w:name w:val="Table Grid Light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2" w:customStyle="1">
    <w:name w:val="Таблица простая 11"/>
    <w:basedOn w:val="7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Таблица простая 21"/>
    <w:basedOn w:val="7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 w:customStyle="1">
    <w:name w:val="Таблица простая 3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5" w:customStyle="1">
    <w:name w:val="Таблица простая 4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Таблица простая 5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 w:customStyle="1">
    <w:name w:val="Таблица-сетка 1 светлая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Таблица-сетка 2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Таблица-сетка 3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Таблица-сетка 41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9" w:customStyle="1">
    <w:name w:val="Grid Table 4 - Accent 1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0" w:customStyle="1">
    <w:name w:val="Grid Table 4 - Accent 2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Grid Table 4 - Accent 3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2" w:customStyle="1">
    <w:name w:val="Grid Table 4 - Accent 4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Grid Table 4 - Accent 5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4" w:customStyle="1">
    <w:name w:val="Grid Table 4 - Accent 6"/>
    <w:basedOn w:val="7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5" w:customStyle="1">
    <w:name w:val="Таблица-сетка 5 темная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2" w:customStyle="1">
    <w:name w:val="Таблица-сетка 6 цветная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3" w:customStyle="1">
    <w:name w:val="Grid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4" w:customStyle="1">
    <w:name w:val="Grid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5" w:customStyle="1">
    <w:name w:val="Grid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6" w:customStyle="1">
    <w:name w:val="Grid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7" w:customStyle="1">
    <w:name w:val="Grid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 w:customStyle="1">
    <w:name w:val="Grid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9" w:customStyle="1">
    <w:name w:val="Таблица-сетка 7 цветная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Список-таблица 1 светлая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1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2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3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4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5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6"/>
    <w:basedOn w:val="7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Список-таблица 2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4"/>
    <w:basedOn w:val="773"/>
    <w:link w:val="9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0" w:customStyle="1">
    <w:name w:val="Список-таблица 3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Список-таблица 4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Список-таблица 5 темная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Список-таблица 6 цветная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2" w:customStyle="1">
    <w:name w:val="List Table 6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3" w:customStyle="1">
    <w:name w:val="List Table 6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4" w:customStyle="1">
    <w:name w:val="List Table 6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5" w:customStyle="1">
    <w:name w:val="List Table 6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6" w:customStyle="1">
    <w:name w:val="List Table 6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7" w:customStyle="1">
    <w:name w:val="List Table 6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8" w:customStyle="1">
    <w:name w:val="Список-таблица 7 цветная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6" w:customStyle="1">
    <w:name w:val="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7" w:customStyle="1">
    <w:name w:val="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8" w:customStyle="1">
    <w:name w:val="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9" w:customStyle="1">
    <w:name w:val="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0" w:customStyle="1">
    <w:name w:val="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1" w:customStyle="1">
    <w:name w:val="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2" w:customStyle="1">
    <w:name w:val="Bordered &amp; Lined - Accent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3" w:customStyle="1">
    <w:name w:val="Bordered &amp; Lined - Accent 1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4" w:customStyle="1">
    <w:name w:val="Bordered &amp; Lined - Accent 2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5" w:customStyle="1">
    <w:name w:val="Bordered &amp; Lined - Accent 3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6" w:customStyle="1">
    <w:name w:val="Bordered &amp; Lined - Accent 4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7" w:customStyle="1">
    <w:name w:val="Bordered &amp; Lined - Accent 5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8" w:customStyle="1">
    <w:name w:val="Bordered &amp; Lined - Accent 6"/>
    <w:basedOn w:val="7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9" w:customStyle="1">
    <w:name w:val="Bordered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0" w:customStyle="1">
    <w:name w:val="Bordered - Accent 1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1" w:customStyle="1">
    <w:name w:val="Bordered - Accent 2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2" w:customStyle="1">
    <w:name w:val="Bordered - Accent 3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3" w:customStyle="1">
    <w:name w:val="Bordered - Accent 4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4" w:customStyle="1">
    <w:name w:val="Bordered - Accent 5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5" w:customStyle="1">
    <w:name w:val="Bordered - Accent 6"/>
    <w:basedOn w:val="7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6">
    <w:name w:val="Hyperlink"/>
    <w:uiPriority w:val="99"/>
    <w:unhideWhenUsed/>
    <w:rPr>
      <w:color w:val="0000ff" w:themeColor="hyperlink"/>
      <w:u w:val="single"/>
    </w:rPr>
  </w:style>
  <w:style w:type="paragraph" w:styleId="957">
    <w:name w:val="footnote text"/>
    <w:basedOn w:val="762"/>
    <w:link w:val="958"/>
    <w:uiPriority w:val="99"/>
    <w:semiHidden/>
    <w:unhideWhenUsed/>
    <w:pPr>
      <w:spacing w:after="40"/>
    </w:pPr>
    <w:rPr>
      <w:sz w:val="18"/>
    </w:rPr>
  </w:style>
  <w:style w:type="character" w:styleId="958" w:customStyle="1">
    <w:name w:val="Текст сноски Знак"/>
    <w:link w:val="957"/>
    <w:uiPriority w:val="99"/>
    <w:rPr>
      <w:sz w:val="18"/>
    </w:rPr>
  </w:style>
  <w:style w:type="character" w:styleId="959">
    <w:name w:val="footnote reference"/>
    <w:basedOn w:val="772"/>
    <w:uiPriority w:val="99"/>
    <w:unhideWhenUsed/>
    <w:rPr>
      <w:vertAlign w:val="superscript"/>
    </w:rPr>
  </w:style>
  <w:style w:type="paragraph" w:styleId="960">
    <w:name w:val="endnote text"/>
    <w:basedOn w:val="762"/>
    <w:link w:val="961"/>
    <w:uiPriority w:val="99"/>
    <w:semiHidden/>
    <w:unhideWhenUsed/>
    <w:rPr>
      <w:sz w:val="20"/>
    </w:rPr>
  </w:style>
  <w:style w:type="character" w:styleId="961" w:customStyle="1">
    <w:name w:val="Текст концевой сноски Знак"/>
    <w:link w:val="960"/>
    <w:uiPriority w:val="99"/>
    <w:rPr>
      <w:sz w:val="20"/>
    </w:rPr>
  </w:style>
  <w:style w:type="character" w:styleId="962">
    <w:name w:val="endnote reference"/>
    <w:basedOn w:val="772"/>
    <w:uiPriority w:val="99"/>
    <w:semiHidden/>
    <w:unhideWhenUsed/>
    <w:rPr>
      <w:vertAlign w:val="superscript"/>
    </w:rPr>
  </w:style>
  <w:style w:type="paragraph" w:styleId="963">
    <w:name w:val="toc 1"/>
    <w:basedOn w:val="762"/>
    <w:next w:val="762"/>
    <w:uiPriority w:val="39"/>
    <w:unhideWhenUsed/>
    <w:pPr>
      <w:spacing w:after="57"/>
    </w:pPr>
  </w:style>
  <w:style w:type="paragraph" w:styleId="964">
    <w:name w:val="toc 2"/>
    <w:basedOn w:val="762"/>
    <w:next w:val="762"/>
    <w:uiPriority w:val="39"/>
    <w:unhideWhenUsed/>
    <w:pPr>
      <w:ind w:left="283"/>
      <w:spacing w:after="57"/>
    </w:pPr>
  </w:style>
  <w:style w:type="paragraph" w:styleId="965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66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67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68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69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970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971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972">
    <w:name w:val="TOC Heading"/>
    <w:uiPriority w:val="39"/>
    <w:unhideWhenUsed/>
  </w:style>
  <w:style w:type="paragraph" w:styleId="973">
    <w:name w:val="table of figures"/>
    <w:basedOn w:val="762"/>
    <w:next w:val="762"/>
    <w:uiPriority w:val="99"/>
    <w:unhideWhenUsed/>
  </w:style>
  <w:style w:type="paragraph" w:styleId="974">
    <w:name w:val="Normal (Web)"/>
    <w:basedOn w:val="762"/>
    <w:link w:val="978"/>
    <w:uiPriority w:val="99"/>
    <w:unhideWhenUsed/>
    <w:pPr>
      <w:spacing w:after="150"/>
    </w:pPr>
    <w:rPr>
      <w:rFonts w:ascii="Times New Roman" w:hAnsi="Times New Roman" w:eastAsia="Times New Roman"/>
    </w:rPr>
  </w:style>
  <w:style w:type="paragraph" w:styleId="975">
    <w:name w:val="List Paragraph"/>
    <w:basedOn w:val="762"/>
    <w:uiPriority w:val="1"/>
    <w:qFormat/>
    <w:pPr>
      <w:contextualSpacing/>
      <w:ind w:left="720"/>
      <w:spacing w:after="200" w:line="276" w:lineRule="auto"/>
    </w:pPr>
    <w:rPr>
      <w:rFonts w:ascii="TimesET" w:hAnsi="TimesET" w:eastAsiaTheme="minorHAnsi"/>
      <w:lang w:eastAsia="en-US"/>
    </w:rPr>
  </w:style>
  <w:style w:type="paragraph" w:styleId="976">
    <w:name w:val="No Spacing"/>
    <w:link w:val="985"/>
    <w:uiPriority w:val="1"/>
    <w:qFormat/>
    <w:pPr>
      <w:spacing w:after="0" w:line="240" w:lineRule="auto"/>
    </w:pPr>
  </w:style>
  <w:style w:type="paragraph" w:styleId="97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78" w:customStyle="1">
    <w:name w:val="Обычный (веб) Знак"/>
    <w:basedOn w:val="772"/>
    <w:link w:val="9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9">
    <w:name w:val="Body Text Indent"/>
    <w:basedOn w:val="762"/>
    <w:link w:val="980"/>
    <w:unhideWhenUsed/>
    <w:pPr>
      <w:ind w:left="283"/>
      <w:spacing w:after="12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80" w:customStyle="1">
    <w:name w:val="Основной текст с отступом Знак"/>
    <w:basedOn w:val="772"/>
    <w:link w:val="979"/>
  </w:style>
  <w:style w:type="paragraph" w:styleId="981">
    <w:name w:val="Header"/>
    <w:basedOn w:val="762"/>
    <w:link w:val="9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2" w:customStyle="1">
    <w:name w:val="Верхний колонтитул Знак"/>
    <w:basedOn w:val="772"/>
    <w:link w:val="981"/>
    <w:uiPriority w:val="99"/>
    <w:rPr>
      <w:rFonts w:ascii="Baltica Chv" w:hAnsi="Baltica Chv" w:eastAsia="Calibri" w:cs="Times New Roman"/>
      <w:sz w:val="24"/>
      <w:szCs w:val="24"/>
      <w:lang w:eastAsia="ru-RU"/>
    </w:rPr>
  </w:style>
  <w:style w:type="paragraph" w:styleId="983">
    <w:name w:val="Footer"/>
    <w:basedOn w:val="762"/>
    <w:link w:val="9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4" w:customStyle="1">
    <w:name w:val="Нижний колонтитул Знак"/>
    <w:basedOn w:val="772"/>
    <w:link w:val="983"/>
    <w:uiPriority w:val="99"/>
    <w:rPr>
      <w:rFonts w:ascii="Baltica Chv" w:hAnsi="Baltica Chv" w:eastAsia="Calibri" w:cs="Times New Roman"/>
      <w:sz w:val="24"/>
      <w:szCs w:val="24"/>
      <w:lang w:eastAsia="ru-RU"/>
    </w:rPr>
  </w:style>
  <w:style w:type="character" w:styleId="985" w:customStyle="1">
    <w:name w:val="Без интервала Знак"/>
    <w:link w:val="976"/>
    <w:uiPriority w:val="1"/>
  </w:style>
  <w:style w:type="paragraph" w:styleId="986">
    <w:name w:val="HTML Preformatted"/>
    <w:basedOn w:val="762"/>
    <w:link w:val="987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character" w:styleId="987" w:customStyle="1">
    <w:name w:val="Стандартный HTML Знак"/>
    <w:basedOn w:val="772"/>
    <w:link w:val="986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88">
    <w:name w:val="Balloon Text"/>
    <w:basedOn w:val="762"/>
    <w:link w:val="98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89" w:customStyle="1">
    <w:name w:val="Текст выноски Знак"/>
    <w:basedOn w:val="772"/>
    <w:link w:val="988"/>
    <w:uiPriority w:val="99"/>
    <w:semiHidden/>
    <w:rPr>
      <w:rFonts w:ascii="Segoe UI" w:hAnsi="Segoe UI" w:eastAsia="Calibri" w:cs="Segoe UI"/>
      <w:sz w:val="18"/>
      <w:szCs w:val="18"/>
      <w:lang w:eastAsia="ru-RU"/>
    </w:rPr>
  </w:style>
  <w:style w:type="paragraph" w:styleId="99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991" w:customStyle="1">
    <w:name w:val="Абзац списка1"/>
    <w:link w:val="897"/>
    <w:uiPriority w:val="1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</w:rPr>
  </w:style>
  <w:style w:type="paragraph" w:styleId="992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sz w:val="24"/>
      <w:szCs w:val="20"/>
      <w:lang w:val="en-US" w:eastAsia="zh-CN"/>
    </w:rPr>
  </w:style>
  <w:style w:type="paragraph" w:styleId="993" w:customStyle="1">
    <w:name w:val="formattext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4" w:customStyle="1">
    <w:name w:val="futurismarkdown-paragraph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5" w:customStyle="1">
    <w:name w:val="Строгий1"/>
    <w:uiPriority w:val="22"/>
    <w:qFormat/>
    <w:rPr>
      <w:b/>
      <w:bCs/>
    </w:rPr>
  </w:style>
  <w:style w:type="paragraph" w:styleId="996">
    <w:name w:val="Body Text"/>
    <w:basedOn w:val="762"/>
    <w:link w:val="997"/>
    <w:uiPriority w:val="99"/>
    <w:semiHidden/>
    <w:unhideWhenUsed/>
    <w:pPr>
      <w:spacing w:after="120"/>
    </w:pPr>
  </w:style>
  <w:style w:type="character" w:styleId="997" w:customStyle="1">
    <w:name w:val="Основной текст Знак"/>
    <w:basedOn w:val="772"/>
    <w:link w:val="996"/>
    <w:uiPriority w:val="99"/>
    <w:semiHidden/>
    <w:rPr>
      <w:rFonts w:ascii="Baltica Chv" w:hAnsi="Baltica Chv" w:eastAsia="Calibri" w:cs="Times New Roman"/>
      <w:sz w:val="24"/>
      <w:szCs w:val="24"/>
      <w:lang w:eastAsia="ru-RU"/>
    </w:rPr>
  </w:style>
  <w:style w:type="character" w:styleId="998" w:customStyle="1">
    <w:name w:val="Выделение1"/>
    <w:uiPriority w:val="20"/>
    <w:qFormat/>
    <w:rPr>
      <w:i/>
      <w:iCs/>
    </w:rPr>
  </w:style>
  <w:style w:type="character" w:styleId="999" w:customStyle="1">
    <w:name w:val="Выделение2"/>
    <w:uiPriority w:val="20"/>
    <w:qFormat/>
    <w:rPr>
      <w:i/>
      <w:iCs/>
    </w:rPr>
  </w:style>
  <w:style w:type="paragraph" w:styleId="1000" w:customStyle="1">
    <w:name w:val="Обычный (веб)1"/>
    <w:uiPriority w:val="99"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garant.cap.ru/document/redirect/10103000/0" TargetMode="External"/><Relationship Id="rId12" Type="http://schemas.openxmlformats.org/officeDocument/2006/relationships/hyperlink" Target="http://garant.cap.ru/document/redirect/70684666/0" TargetMode="External"/><Relationship Id="rId13" Type="http://schemas.openxmlformats.org/officeDocument/2006/relationships/hyperlink" Target="http://garant.cap.ru/document/redirect/401425792/1000" TargetMode="External"/><Relationship Id="rId14" Type="http://schemas.openxmlformats.org/officeDocument/2006/relationships/hyperlink" Target="http://garant.cap.ru/document/redirect/401425792/0" TargetMode="External"/><Relationship Id="rId15" Type="http://schemas.openxmlformats.org/officeDocument/2006/relationships/hyperlink" Target="http://garant.cap.ru/document/redirect/403015816/0" TargetMode="External"/><Relationship Id="rId16" Type="http://schemas.openxmlformats.org/officeDocument/2006/relationships/hyperlink" Target="http://garant.cap.ru/document/redirect/70284810/1000" TargetMode="External"/><Relationship Id="rId17" Type="http://schemas.openxmlformats.org/officeDocument/2006/relationships/hyperlink" Target="http://garant.cap.ru/document/redirect/70284810/0" TargetMode="External"/><Relationship Id="rId18" Type="http://schemas.openxmlformats.org/officeDocument/2006/relationships/hyperlink" Target="http://garant.cap.ru/document/redirect/405679061/1000" TargetMode="External"/><Relationship Id="rId19" Type="http://schemas.openxmlformats.org/officeDocument/2006/relationships/hyperlink" Target="http://garant.cap.ru/document/redirect/405679061/0" TargetMode="External"/><Relationship Id="rId20" Type="http://schemas.openxmlformats.org/officeDocument/2006/relationships/hyperlink" Target="http://garant.cap.ru/document/redirect/406643869/1000" TargetMode="External"/><Relationship Id="rId21" Type="http://schemas.openxmlformats.org/officeDocument/2006/relationships/hyperlink" Target="http://garant.cap.ru/document/redirect/406643869/0" TargetMode="External"/><Relationship Id="rId22" Type="http://schemas.openxmlformats.org/officeDocument/2006/relationships/hyperlink" Target="http://garant.cap.ru/document/redirect/70727660/1000" TargetMode="External"/><Relationship Id="rId23" Type="http://schemas.openxmlformats.org/officeDocument/2006/relationships/hyperlink" Target="http://garant.cap.ru/document/redirect/70727660/0" TargetMode="External"/><Relationship Id="rId24" Type="http://schemas.openxmlformats.org/officeDocument/2006/relationships/hyperlink" Target="http://garant.cap.ru/document/redirect/71057260/10" TargetMode="External"/><Relationship Id="rId25" Type="http://schemas.openxmlformats.org/officeDocument/2006/relationships/hyperlink" Target="http://garant.cap.ru/document/redirect/71057260/0" TargetMode="External"/><Relationship Id="rId26" Type="http://schemas.openxmlformats.org/officeDocument/2006/relationships/hyperlink" Target="http://garant.cap.ru/document/redirect/74484683/1000" TargetMode="External"/><Relationship Id="rId27" Type="http://schemas.openxmlformats.org/officeDocument/2006/relationships/hyperlink" Target="http://garant.cap.ru/document/redirect/74484683/0" TargetMode="External"/><Relationship Id="rId28" Type="http://schemas.openxmlformats.org/officeDocument/2006/relationships/hyperlink" Target="http://garant.cap.ru/document/redirect/403809682/1000" TargetMode="External"/><Relationship Id="rId29" Type="http://schemas.openxmlformats.org/officeDocument/2006/relationships/hyperlink" Target="http://garant.cap.ru/document/redirect/403809682/0" TargetMode="External"/><Relationship Id="rId30" Type="http://schemas.openxmlformats.org/officeDocument/2006/relationships/hyperlink" Target="http://garant.cap.ru/document/redirect/406840607/1000" TargetMode="External"/><Relationship Id="rId31" Type="http://schemas.openxmlformats.org/officeDocument/2006/relationships/hyperlink" Target="http://garant.cap.ru/document/redirect/406840607/0" TargetMode="External"/><Relationship Id="rId32" Type="http://schemas.openxmlformats.org/officeDocument/2006/relationships/hyperlink" Target="http://garant.cap.ru/document/redirect/72174066/1000" TargetMode="External"/><Relationship Id="rId33" Type="http://schemas.openxmlformats.org/officeDocument/2006/relationships/hyperlink" Target="http://garant.cap.ru/document/redirect/72174066/0" TargetMode="External"/><Relationship Id="rId34" Type="http://schemas.openxmlformats.org/officeDocument/2006/relationships/hyperlink" Target="http://garant.cap.ru/document/redirect/70828330/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1CCB-FF8E-43E7-8409-B46AB23B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Ефимова Ольга Витальевна</dc:creator>
  <cp:revision>122</cp:revision>
  <dcterms:created xsi:type="dcterms:W3CDTF">2020-06-04T05:48:00Z</dcterms:created>
  <dcterms:modified xsi:type="dcterms:W3CDTF">2025-05-15T14:40:30Z</dcterms:modified>
</cp:coreProperties>
</file>