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56BCFA">
      <w:pPr>
        <w:jc w:val="right"/>
      </w:pPr>
      <w:r>
        <w:t xml:space="preserve">                                                                                                                                                         </w:t>
      </w:r>
      <w:bookmarkStart w:id="1" w:name="_GoBack"/>
      <w:bookmarkEnd w:id="1"/>
    </w:p>
    <w:p w14:paraId="409AE494"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2606040</wp:posOffset>
            </wp:positionH>
            <wp:positionV relativeFrom="paragraph">
              <wp:posOffset>152400</wp:posOffset>
            </wp:positionV>
            <wp:extent cx="720090" cy="720090"/>
            <wp:effectExtent l="0" t="0" r="3810" b="3810"/>
            <wp:wrapNone/>
            <wp:docPr id="2" name="Рисунок 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Gerb-ch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t xml:space="preserve">                                                                      </w:t>
      </w:r>
    </w:p>
    <w:p w14:paraId="743A7D44"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-3658235</wp:posOffset>
            </wp:positionH>
            <wp:positionV relativeFrom="paragraph">
              <wp:posOffset>45720</wp:posOffset>
            </wp:positionV>
            <wp:extent cx="720090" cy="720090"/>
            <wp:effectExtent l="0" t="0" r="3810" b="3810"/>
            <wp:wrapNone/>
            <wp:docPr id="1" name="Рисунок 1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Gerb-ch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tbl>
      <w:tblPr>
        <w:tblStyle w:val="4"/>
        <w:tblpPr w:leftFromText="180" w:rightFromText="180" w:vertAnchor="text" w:horzAnchor="margin" w:tblpY="-352"/>
        <w:tblW w:w="9672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77"/>
        <w:gridCol w:w="1431"/>
        <w:gridCol w:w="4164"/>
      </w:tblGrid>
      <w:tr w14:paraId="1BB9F6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4077" w:type="dxa"/>
            <w:vAlign w:val="center"/>
          </w:tcPr>
          <w:p w14:paraId="2142F5A5">
            <w:pPr>
              <w:jc w:val="center"/>
              <w:rPr>
                <w:b/>
                <w:bCs/>
                <w:caps/>
              </w:rPr>
            </w:pPr>
            <w:r>
              <w:rPr>
                <w:b/>
                <w:bCs/>
                <w:caps/>
              </w:rPr>
              <w:t>ЧĂВАШ РЕСПУБЛИКИ</w:t>
            </w:r>
          </w:p>
          <w:p w14:paraId="02D273B8">
            <w:pPr>
              <w:jc w:val="center"/>
              <w:rPr>
                <w:b/>
                <w:bCs/>
                <w:caps/>
              </w:rPr>
            </w:pPr>
            <w:r>
              <w:rPr>
                <w:b/>
                <w:bCs/>
                <w:caps/>
              </w:rPr>
              <w:t xml:space="preserve">ХĔРЛĔ ЧУТАЙ </w:t>
            </w:r>
          </w:p>
          <w:p w14:paraId="17C8942F">
            <w:pPr>
              <w:jc w:val="center"/>
              <w:rPr>
                <w:b/>
                <w:bCs/>
                <w:caps/>
              </w:rPr>
            </w:pPr>
            <w:r>
              <w:rPr>
                <w:b/>
                <w:bCs/>
                <w:caps/>
              </w:rPr>
              <w:t xml:space="preserve">МУНИЦИПАЛЛӐ ОКРУГӖН  </w:t>
            </w:r>
          </w:p>
          <w:p w14:paraId="475DE28A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caps/>
              </w:rPr>
              <w:t xml:space="preserve"> АДМИНИСТРАЦИЙ</w:t>
            </w:r>
            <w:r>
              <w:rPr>
                <w:b/>
                <w:caps/>
              </w:rPr>
              <w:t>ĕ</w:t>
            </w:r>
          </w:p>
        </w:tc>
        <w:tc>
          <w:tcPr>
            <w:tcW w:w="1431" w:type="dxa"/>
            <w:vMerge w:val="restart"/>
            <w:vAlign w:val="center"/>
          </w:tcPr>
          <w:p w14:paraId="4DC80E31">
            <w:pPr>
              <w:jc w:val="center"/>
              <w:rPr>
                <w:b/>
                <w:bCs/>
              </w:rPr>
            </w:pPr>
          </w:p>
        </w:tc>
        <w:tc>
          <w:tcPr>
            <w:tcW w:w="4164" w:type="dxa"/>
            <w:vAlign w:val="center"/>
          </w:tcPr>
          <w:p w14:paraId="7975C4DC">
            <w:pPr>
              <w:jc w:val="center"/>
              <w:rPr>
                <w:rStyle w:val="10"/>
                <w:b w:val="0"/>
                <w:bCs w:val="0"/>
              </w:rPr>
            </w:pPr>
            <w:r>
              <w:rPr>
                <w:b/>
                <w:bCs/>
              </w:rPr>
              <w:t>ЧУВАШСКАЯ РЕСПУБЛИКА</w:t>
            </w:r>
            <w:r>
              <w:rPr>
                <w:rStyle w:val="10"/>
                <w:b w:val="0"/>
                <w:bCs w:val="0"/>
              </w:rPr>
              <w:t xml:space="preserve"> </w:t>
            </w:r>
          </w:p>
          <w:p w14:paraId="72FDDABA">
            <w:pPr>
              <w:jc w:val="center"/>
              <w:rPr>
                <w:rStyle w:val="10"/>
              </w:rPr>
            </w:pPr>
            <w:r>
              <w:rPr>
                <w:rStyle w:val="10"/>
              </w:rPr>
              <w:t xml:space="preserve">АДМИНИСТРАЦИЯ  </w:t>
            </w:r>
          </w:p>
          <w:p w14:paraId="48B4F5D0">
            <w:pPr>
              <w:jc w:val="center"/>
            </w:pPr>
            <w:r>
              <w:rPr>
                <w:b/>
                <w:bCs/>
              </w:rPr>
              <w:t>КРАСНОЧЕТАЙСКОГО МУНИЦИПАЛЬНОГО ОКРУГА</w:t>
            </w:r>
          </w:p>
        </w:tc>
      </w:tr>
      <w:tr w14:paraId="2D8770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99" w:hRule="atLeast"/>
        </w:trPr>
        <w:tc>
          <w:tcPr>
            <w:tcW w:w="4077" w:type="dxa"/>
          </w:tcPr>
          <w:p w14:paraId="743E410E">
            <w:pPr>
              <w:spacing w:line="192" w:lineRule="auto"/>
            </w:pPr>
          </w:p>
          <w:p w14:paraId="7DDB57A6">
            <w:pPr>
              <w:pStyle w:val="9"/>
              <w:tabs>
                <w:tab w:val="left" w:pos="4285"/>
              </w:tabs>
              <w:spacing w:line="192" w:lineRule="auto"/>
              <w:jc w:val="center"/>
              <w:rPr>
                <w:rStyle w:val="10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10"/>
                <w:rFonts w:ascii="Times New Roman" w:hAnsi="Times New Roman" w:cs="Times New Roman"/>
                <w:sz w:val="24"/>
                <w:szCs w:val="24"/>
              </w:rPr>
              <w:t xml:space="preserve">Й Ы Ш Ӑ Н У </w:t>
            </w:r>
          </w:p>
          <w:p w14:paraId="72BC4A56">
            <w:pPr>
              <w:pStyle w:val="9"/>
              <w:jc w:val="center"/>
              <w:rPr>
                <w:rFonts w:ascii="Arial" w:hAnsi="Arial" w:cs="Arial"/>
              </w:rPr>
            </w:pPr>
          </w:p>
          <w:p w14:paraId="716968FD">
            <w:pPr>
              <w:pStyle w:val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06.03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.2026   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146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7291E06D">
            <w:pPr>
              <w:jc w:val="center"/>
            </w:pPr>
            <w:r>
              <w:t>Хĕрлĕ Чутай сали</w:t>
            </w:r>
          </w:p>
        </w:tc>
        <w:tc>
          <w:tcPr>
            <w:tcW w:w="1431" w:type="dxa"/>
            <w:vMerge w:val="continue"/>
            <w:vAlign w:val="center"/>
          </w:tcPr>
          <w:p w14:paraId="1EC64B6C">
            <w:pPr>
              <w:rPr>
                <w:b/>
                <w:bCs/>
              </w:rPr>
            </w:pPr>
          </w:p>
        </w:tc>
        <w:tc>
          <w:tcPr>
            <w:tcW w:w="4164" w:type="dxa"/>
          </w:tcPr>
          <w:p w14:paraId="4B9F28CC">
            <w:pPr>
              <w:pStyle w:val="9"/>
              <w:spacing w:line="192" w:lineRule="auto"/>
              <w:jc w:val="center"/>
              <w:rPr>
                <w:rStyle w:val="10"/>
                <w:rFonts w:ascii="Times New Roman" w:hAnsi="Times New Roman" w:cs="Times New Roman"/>
                <w:sz w:val="24"/>
                <w:szCs w:val="24"/>
              </w:rPr>
            </w:pPr>
          </w:p>
          <w:p w14:paraId="074CBB5C">
            <w:pPr>
              <w:pStyle w:val="9"/>
              <w:spacing w:line="192" w:lineRule="auto"/>
              <w:jc w:val="center"/>
              <w:rPr>
                <w:rStyle w:val="10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10"/>
                <w:rFonts w:ascii="Times New Roman" w:hAnsi="Times New Roman" w:cs="Times New Roman"/>
                <w:sz w:val="24"/>
                <w:szCs w:val="24"/>
              </w:rPr>
              <w:t>ПОСТАНОВЛЕНИЕ</w:t>
            </w:r>
          </w:p>
          <w:p w14:paraId="0686778D"/>
          <w:p w14:paraId="18BBCB53">
            <w:pPr>
              <w:pStyle w:val="9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06.03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.2026   №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146</w:t>
            </w:r>
          </w:p>
          <w:p w14:paraId="3EC05BD3">
            <w:pPr>
              <w:jc w:val="center"/>
            </w:pPr>
            <w:r>
              <w:t>село Красные Четаи</w:t>
            </w:r>
          </w:p>
        </w:tc>
      </w:tr>
    </w:tbl>
    <w:p w14:paraId="106A3CC1">
      <w:pPr>
        <w:ind w:right="3544"/>
        <w:jc w:val="both"/>
      </w:pPr>
      <w:r>
        <w:t>О внесении изменений в постановление             администрации Красночетайского муниципального округа Чувашской Республики от 30.01.2023 № 61 «</w:t>
      </w:r>
      <w:r>
        <w:rPr>
          <w:bCs/>
        </w:rPr>
        <w:t>Об утверждении Положения об организации питания обучающихся в муниципальных общеобразовательных организациях Красночетайского муниципального округа Чувашской Республики»</w:t>
      </w:r>
    </w:p>
    <w:p w14:paraId="781D95AE">
      <w:pPr>
        <w:tabs>
          <w:tab w:val="left" w:pos="5387"/>
          <w:tab w:val="left" w:pos="5812"/>
        </w:tabs>
        <w:ind w:right="4535"/>
        <w:jc w:val="both"/>
      </w:pPr>
    </w:p>
    <w:p w14:paraId="747656E7">
      <w:pPr>
        <w:pStyle w:val="12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</w:t>
      </w:r>
      <w:r>
        <w:fldChar w:fldCharType="begin"/>
      </w:r>
      <w:r>
        <w:instrText xml:space="preserve"> HYPERLINK "https://login.consultant.ru/link/?req=doc&amp;base=LAW&amp;n=501480" </w:instrText>
      </w:r>
      <w:r>
        <w:fldChar w:fldCharType="separate"/>
      </w:r>
      <w:r>
        <w:rPr>
          <w:rStyle w:val="5"/>
          <w:rFonts w:ascii="Times New Roman" w:hAnsi="Times New Roman" w:cs="Times New Roman"/>
          <w:color w:val="auto"/>
          <w:sz w:val="24"/>
          <w:szCs w:val="24"/>
          <w:u w:val="none"/>
        </w:rPr>
        <w:t>законом</w:t>
      </w:r>
      <w:r>
        <w:rPr>
          <w:rStyle w:val="5"/>
          <w:rFonts w:ascii="Times New Roman" w:hAnsi="Times New Roman" w:cs="Times New Roman"/>
          <w:color w:val="auto"/>
          <w:sz w:val="24"/>
          <w:szCs w:val="24"/>
          <w:u w:val="none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от 20.03.2025 № 33-ФЗ «Об общих принципах организации местного самоуправления в единой системе публичной власти», Федеральным </w:t>
      </w:r>
      <w:r>
        <w:fldChar w:fldCharType="begin"/>
      </w:r>
      <w:r>
        <w:instrText xml:space="preserve"> HYPERLINK "https://login.consultant.ru/link/?req=doc&amp;base=LAW&amp;n=510818" </w:instrText>
      </w:r>
      <w:r>
        <w:fldChar w:fldCharType="separate"/>
      </w:r>
      <w:r>
        <w:rPr>
          <w:rStyle w:val="5"/>
          <w:rFonts w:ascii="Times New Roman" w:hAnsi="Times New Roman" w:cs="Times New Roman"/>
          <w:color w:val="auto"/>
          <w:sz w:val="24"/>
          <w:szCs w:val="24"/>
          <w:u w:val="none"/>
        </w:rPr>
        <w:t>законом</w:t>
      </w:r>
      <w:r>
        <w:rPr>
          <w:rStyle w:val="5"/>
          <w:rFonts w:ascii="Times New Roman" w:hAnsi="Times New Roman" w:cs="Times New Roman"/>
          <w:color w:val="auto"/>
          <w:sz w:val="24"/>
          <w:szCs w:val="24"/>
          <w:u w:val="none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от 29 декабря 2012 года № 273-ФЗ «Об образовании в Российской Федерации», Законами Чувашской Республики от 24.11.2025 № 74 «О внесении изменений в Закон Чувашской Республики «О наделении органов местного самоуправления в Чувашской Республике отдельными государственными полномочиями» и статью 14 Закона Чувашской Республики «Об образовании в Чувашской Республике», от 30.11.2006 № 55 «О наделении органов местного самоуправления в Чувашской Республике отдельными государственными полномочиями», администрация Красночетайского муниципального округа постановляет:</w:t>
      </w:r>
    </w:p>
    <w:p w14:paraId="06CDD8B0">
      <w:pPr>
        <w:pStyle w:val="12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Внести в </w:t>
      </w:r>
      <w:r>
        <w:fldChar w:fldCharType="begin"/>
      </w:r>
      <w:r>
        <w:instrText xml:space="preserve"> HYPERLINK "https://login.consultant.ru/link/?req=doc&amp;base=RLAW098&amp;n=169559&amp;dst=100018" \h </w:instrText>
      </w:r>
      <w:r>
        <w:fldChar w:fldCharType="separate"/>
      </w:r>
      <w:r>
        <w:rPr>
          <w:rFonts w:ascii="Times New Roman" w:hAnsi="Times New Roman" w:cs="Times New Roman"/>
          <w:sz w:val="24"/>
          <w:szCs w:val="24"/>
        </w:rPr>
        <w:t>Положение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об организации питания обучающихся в муниципальных общеобразовательных учреждениях Красночетайского муниципального округа Чувашской Республики, утвержденное постановлением администрации Красночетайского муниципального округа от 30 января 2023 г. № 61 (с изменениями, внесенными постановлениями администрации Красночетайского муниципального округа от 24.10.2023 </w:t>
      </w:r>
      <w:r>
        <w:fldChar w:fldCharType="begin"/>
      </w:r>
      <w:r>
        <w:instrText xml:space="preserve"> HYPERLINK "https://login.consultant.ru/link/?req=doc&amp;base=RLAW098&amp;n=169500&amp;dst=100005" </w:instrText>
      </w:r>
      <w:r>
        <w:fldChar w:fldCharType="separate"/>
      </w:r>
      <w:r>
        <w:rPr>
          <w:rStyle w:val="5"/>
          <w:rFonts w:ascii="Times New Roman" w:hAnsi="Times New Roman" w:cs="Times New Roman"/>
          <w:color w:val="auto"/>
          <w:sz w:val="24"/>
          <w:szCs w:val="24"/>
          <w:u w:val="none"/>
        </w:rPr>
        <w:t>№ 892</w:t>
      </w:r>
      <w:r>
        <w:rPr>
          <w:rStyle w:val="5"/>
          <w:rFonts w:ascii="Times New Roman" w:hAnsi="Times New Roman" w:cs="Times New Roman"/>
          <w:color w:val="auto"/>
          <w:sz w:val="24"/>
          <w:szCs w:val="24"/>
          <w:u w:val="none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, от 10.11.2023 </w:t>
      </w:r>
      <w:r>
        <w:fldChar w:fldCharType="begin"/>
      </w:r>
      <w:r>
        <w:instrText xml:space="preserve"> HYPERLINK "https://login.consultant.ru/link/?req=doc&amp;base=RLAW098&amp;n=169652&amp;dst=100005" </w:instrText>
      </w:r>
      <w:r>
        <w:fldChar w:fldCharType="separate"/>
      </w:r>
      <w:r>
        <w:rPr>
          <w:rStyle w:val="5"/>
          <w:rFonts w:ascii="Times New Roman" w:hAnsi="Times New Roman" w:cs="Times New Roman"/>
          <w:color w:val="auto"/>
          <w:sz w:val="24"/>
          <w:szCs w:val="24"/>
          <w:u w:val="none"/>
        </w:rPr>
        <w:t>№ 960</w:t>
      </w:r>
      <w:r>
        <w:rPr>
          <w:rStyle w:val="5"/>
          <w:rFonts w:ascii="Times New Roman" w:hAnsi="Times New Roman" w:cs="Times New Roman"/>
          <w:color w:val="auto"/>
          <w:sz w:val="24"/>
          <w:szCs w:val="24"/>
          <w:u w:val="none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, от 19.04.2024 </w:t>
      </w:r>
      <w:r>
        <w:fldChar w:fldCharType="begin"/>
      </w:r>
      <w:r>
        <w:instrText xml:space="preserve"> HYPERLINK "https://login.consultant.ru/link/?req=doc&amp;base=RLAW098&amp;n=176703&amp;dst=100005" </w:instrText>
      </w:r>
      <w:r>
        <w:fldChar w:fldCharType="separate"/>
      </w:r>
      <w:r>
        <w:rPr>
          <w:rStyle w:val="5"/>
          <w:rFonts w:ascii="Times New Roman" w:hAnsi="Times New Roman" w:cs="Times New Roman"/>
          <w:color w:val="auto"/>
          <w:sz w:val="24"/>
          <w:szCs w:val="24"/>
          <w:u w:val="none"/>
        </w:rPr>
        <w:t>№ 318</w:t>
      </w:r>
      <w:r>
        <w:rPr>
          <w:rStyle w:val="5"/>
          <w:rFonts w:ascii="Times New Roman" w:hAnsi="Times New Roman" w:cs="Times New Roman"/>
          <w:color w:val="auto"/>
          <w:sz w:val="24"/>
          <w:szCs w:val="24"/>
          <w:u w:val="none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, от 08.07.2024 </w:t>
      </w:r>
      <w:r>
        <w:fldChar w:fldCharType="begin"/>
      </w:r>
      <w:r>
        <w:instrText xml:space="preserve"> HYPERLINK "https://login.consultant.ru/link/?req=doc&amp;base=RLAW098&amp;n=180385&amp;dst=100005" </w:instrText>
      </w:r>
      <w:r>
        <w:fldChar w:fldCharType="separate"/>
      </w:r>
      <w:r>
        <w:rPr>
          <w:rStyle w:val="5"/>
          <w:rFonts w:ascii="Times New Roman" w:hAnsi="Times New Roman" w:cs="Times New Roman"/>
          <w:color w:val="auto"/>
          <w:sz w:val="24"/>
          <w:szCs w:val="24"/>
          <w:u w:val="none"/>
        </w:rPr>
        <w:t>№ 543</w:t>
      </w:r>
      <w:r>
        <w:rPr>
          <w:rStyle w:val="5"/>
          <w:rFonts w:ascii="Times New Roman" w:hAnsi="Times New Roman" w:cs="Times New Roman"/>
          <w:color w:val="auto"/>
          <w:sz w:val="24"/>
          <w:szCs w:val="24"/>
          <w:u w:val="none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, от 09.07.2025 </w:t>
      </w:r>
      <w:r>
        <w:fldChar w:fldCharType="begin"/>
      </w:r>
      <w:r>
        <w:instrText xml:space="preserve"> HYPERLINK "https://login.consultant.ru/link/?req=doc&amp;base=RLAW098&amp;n=191777&amp;dst=100005" </w:instrText>
      </w:r>
      <w:r>
        <w:fldChar w:fldCharType="separate"/>
      </w:r>
      <w:r>
        <w:rPr>
          <w:rStyle w:val="5"/>
          <w:rFonts w:ascii="Times New Roman" w:hAnsi="Times New Roman" w:cs="Times New Roman"/>
          <w:color w:val="auto"/>
          <w:sz w:val="24"/>
          <w:szCs w:val="24"/>
          <w:u w:val="none"/>
        </w:rPr>
        <w:t>3 468</w:t>
      </w:r>
      <w:r>
        <w:rPr>
          <w:rStyle w:val="5"/>
          <w:rFonts w:ascii="Times New Roman" w:hAnsi="Times New Roman" w:cs="Times New Roman"/>
          <w:color w:val="auto"/>
          <w:sz w:val="24"/>
          <w:szCs w:val="24"/>
          <w:u w:val="none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>) (далее - Положение), следующие изменения:</w:t>
      </w:r>
    </w:p>
    <w:p w14:paraId="7907B7A0">
      <w:pPr>
        <w:pStyle w:val="12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1.1. </w:t>
      </w:r>
      <w:r>
        <w:fldChar w:fldCharType="begin"/>
      </w:r>
      <w:r>
        <w:instrText xml:space="preserve"> HYPERLINK "https://login.consultant.ru/link/?req=doc&amp;base=RLAW098&amp;n=169559&amp;dst=100055" \h </w:instrText>
      </w:r>
      <w:r>
        <w:fldChar w:fldCharType="separate"/>
      </w:r>
      <w:r>
        <w:rPr>
          <w:rFonts w:ascii="Times New Roman" w:hAnsi="Times New Roman" w:cs="Times New Roman"/>
          <w:sz w:val="24"/>
          <w:szCs w:val="24"/>
        </w:rPr>
        <w:t>Пункт 4.2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fldChar w:fldCharType="begin"/>
      </w:r>
      <w:r>
        <w:instrText xml:space="preserve"> HYPERLINK "https://login.consultant.ru/link/?req=doc&amp;base=RLAW098&amp;n=169559&amp;dst=100053" \h </w:instrText>
      </w:r>
      <w:r>
        <w:fldChar w:fldCharType="separate"/>
      </w:r>
      <w:r>
        <w:rPr>
          <w:rFonts w:ascii="Times New Roman" w:hAnsi="Times New Roman" w:cs="Times New Roman"/>
          <w:sz w:val="24"/>
          <w:szCs w:val="24"/>
        </w:rPr>
        <w:t>раздела 4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Положения изложить в следующей редакции:</w:t>
      </w:r>
    </w:p>
    <w:p w14:paraId="1135B5A0">
      <w:pPr>
        <w:autoSpaceDE w:val="0"/>
        <w:autoSpaceDN w:val="0"/>
        <w:adjustRightInd w:val="0"/>
        <w:ind w:firstLine="567"/>
        <w:jc w:val="both"/>
      </w:pPr>
      <w:r>
        <w:t xml:space="preserve">«4.2. Право на бесплатное двухразовое питание в общеобразовательных организациях, находящихся на территории Красночетайского муниципального округа Чувашской Республики, имеют обучающиеся, осваивающие образовательные программы начального общего, основного общего, </w:t>
      </w:r>
      <w:r>
        <w:rPr>
          <w:rFonts w:eastAsiaTheme="minorHAnsi"/>
          <w:sz w:val="22"/>
          <w:szCs w:val="22"/>
          <w:lang w:eastAsia="en-US"/>
        </w:rPr>
        <w:t>среднего общего образования</w:t>
      </w:r>
      <w:r>
        <w:t>:</w:t>
      </w:r>
    </w:p>
    <w:p w14:paraId="22A16B8D">
      <w:pPr>
        <w:pStyle w:val="12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из многодетных малоимущих семей;</w:t>
      </w:r>
    </w:p>
    <w:p w14:paraId="767816FC">
      <w:pPr>
        <w:pStyle w:val="12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дети-сироты и дети, оставшиеся без попечения родителей;</w:t>
      </w:r>
    </w:p>
    <w:p w14:paraId="62CD836C">
      <w:pPr>
        <w:pStyle w:val="12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дети-инвалиды;</w:t>
      </w:r>
    </w:p>
    <w:p w14:paraId="313C81F5">
      <w:pPr>
        <w:pStyle w:val="12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являющиеся членами семей:</w:t>
      </w:r>
    </w:p>
    <w:p w14:paraId="47D2BACA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bookmarkStart w:id="0" w:name="Par0"/>
      <w:bookmarkEnd w:id="0"/>
      <w:r>
        <w:rPr>
          <w:rFonts w:eastAsiaTheme="minorHAnsi"/>
          <w:lang w:eastAsia="en-US"/>
        </w:rPr>
        <w:t>а) военнослужащих войск национальной гвардии Российской Федерации, лиц, проходящих службу в войсках национальной гвардии Российской Федерации и имеющих специальное звание полиции, принимающих участие в специальной военной операции на территориях Украины, Донецкой Народной Республики, Луганской Народной Республики, Херсонской и Запорожской областей (далее - специальная военная операция) или выполняющих задачи по отражению вооруженного вторжения на территорию Российской Федерации, а также в ходе вооруженной провокации на участках Государственной границы Российской Федерации и приграничных территориях субъектов Российской Федерации, прилегающих к районам проведения специальной военной операции (далее соответственно - отражение вооруженного вторжения, вооруженная провокация);</w:t>
      </w:r>
    </w:p>
    <w:p w14:paraId="200F3965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б) граждан Российской Федерации, призванных на военную службу по мобилизации в Вооруженные Силы Российской Федерации в соответствии с </w:t>
      </w:r>
      <w:r>
        <w:fldChar w:fldCharType="begin"/>
      </w:r>
      <w:r>
        <w:instrText xml:space="preserve"> HYPERLINK "https://login.consultant.ru/link/?req=doc&amp;base=LAW&amp;n=426999" </w:instrText>
      </w:r>
      <w:r>
        <w:fldChar w:fldCharType="separate"/>
      </w:r>
      <w:r>
        <w:rPr>
          <w:rFonts w:eastAsiaTheme="minorHAnsi"/>
          <w:color w:val="0000FF"/>
          <w:lang w:eastAsia="en-US"/>
        </w:rPr>
        <w:t>Указом</w:t>
      </w:r>
      <w:r>
        <w:rPr>
          <w:rFonts w:eastAsiaTheme="minorHAnsi"/>
          <w:color w:val="0000FF"/>
          <w:lang w:eastAsia="en-US"/>
        </w:rPr>
        <w:fldChar w:fldCharType="end"/>
      </w:r>
      <w:r>
        <w:rPr>
          <w:rFonts w:eastAsiaTheme="minorHAnsi"/>
          <w:lang w:eastAsia="en-US"/>
        </w:rPr>
        <w:t xml:space="preserve"> Президента Российской Федерации от 21 сентября 2022 года № 647 «Об объявлении частичной мобилизации в Российской Федерации», принимающих участие в специальной военной операции или выполняющих задачи по отражению вооруженного вторжения, а также в ходе вооруженной провокации;</w:t>
      </w:r>
    </w:p>
    <w:p w14:paraId="79F12F65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в) граждан Российской Федерации, заключивших контракт о добровольном содействии в выполнении задач, возложенных на Вооруженные Силы Российской Федерации, принимающих участие в специальной военной операции или выполняющих задачи по отражению вооруженного вторжения, а также в ходе вооруженной провокации;</w:t>
      </w:r>
    </w:p>
    <w:p w14:paraId="45645E4F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г) граждан Российской Федерации, проходящих военную службу в Вооруженных Силах Российской Федерации по контракту, проходящих военную службу по контракту в воинских частях, дислоцированных на территории Чувашской Республики, принимающих участие в специальной военной операции или выполняющих задачи по отражению вооруженного вторжения, а также в ходе вооруженной провокации;</w:t>
      </w:r>
    </w:p>
    <w:p w14:paraId="29D67A1B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д) сотрудников территориальных органов федеральных государственных органов, расположенных на территории Чувашской Республики, принимающих участие в специальной военной операции или выполняющих задачи по отражению вооруженного вторжения, а также в ходе вооруженной провокации;</w:t>
      </w:r>
    </w:p>
    <w:p w14:paraId="3529AF1E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е) граждан Российской Федерации, указанных в под</w:t>
      </w:r>
      <w:r>
        <w:fldChar w:fldCharType="begin"/>
      </w:r>
      <w:r>
        <w:instrText xml:space="preserve"> HYPERLINK \l "Par0" </w:instrText>
      </w:r>
      <w:r>
        <w:fldChar w:fldCharType="separate"/>
      </w:r>
      <w:r>
        <w:rPr>
          <w:rFonts w:eastAsiaTheme="minorHAnsi"/>
          <w:lang w:eastAsia="en-US"/>
        </w:rPr>
        <w:t xml:space="preserve">пунктах </w:t>
      </w:r>
      <w:r>
        <w:rPr>
          <w:rFonts w:eastAsiaTheme="minorHAnsi"/>
          <w:lang w:eastAsia="en-US"/>
        </w:rPr>
        <w:fldChar w:fldCharType="end"/>
      </w:r>
      <w:r>
        <w:rPr>
          <w:rFonts w:eastAsiaTheme="minorHAnsi"/>
          <w:lang w:eastAsia="en-US"/>
        </w:rPr>
        <w:t xml:space="preserve">а - </w:t>
      </w:r>
      <w:r>
        <w:fldChar w:fldCharType="begin"/>
      </w:r>
      <w:r>
        <w:instrText xml:space="preserve"> HYPERLINK \l "Par4" </w:instrText>
      </w:r>
      <w:r>
        <w:fldChar w:fldCharType="separate"/>
      </w:r>
      <w:r>
        <w:rPr>
          <w:rFonts w:eastAsiaTheme="minorHAnsi"/>
          <w:lang w:eastAsia="en-US"/>
        </w:rPr>
        <w:t>д</w:t>
      </w:r>
      <w:r>
        <w:rPr>
          <w:rFonts w:eastAsiaTheme="minorHAnsi"/>
          <w:lang w:eastAsia="en-US"/>
        </w:rPr>
        <w:fldChar w:fldCharType="end"/>
      </w:r>
      <w:r>
        <w:rPr>
          <w:rFonts w:eastAsiaTheme="minorHAnsi"/>
          <w:lang w:eastAsia="en-US"/>
        </w:rPr>
        <w:t xml:space="preserve"> настоящего пункта, которым установлена инвалидность I или II группы в результате увечья (ранения, травмы, контузии), полученного ими в ходе участия в специальной военной операции или в ходе отражения вооруженного вторжения, а также в ходе вооруженной провокации, на период до снятия режима (уровня базовой готовности), введенного </w:t>
      </w:r>
      <w:r>
        <w:fldChar w:fldCharType="begin"/>
      </w:r>
      <w:r>
        <w:instrText xml:space="preserve"> HYPERLINK "https://login.consultant.ru/link/?req=doc&amp;base=LAW&amp;n=455520&amp;dst=100021" </w:instrText>
      </w:r>
      <w:r>
        <w:fldChar w:fldCharType="separate"/>
      </w:r>
      <w:r>
        <w:rPr>
          <w:rFonts w:eastAsiaTheme="minorHAnsi"/>
          <w:color w:val="0000FF"/>
          <w:lang w:eastAsia="en-US"/>
        </w:rPr>
        <w:t>пунктом 5</w:t>
      </w:r>
      <w:r>
        <w:rPr>
          <w:rFonts w:eastAsiaTheme="minorHAnsi"/>
          <w:color w:val="0000FF"/>
          <w:lang w:eastAsia="en-US"/>
        </w:rPr>
        <w:fldChar w:fldCharType="end"/>
      </w:r>
      <w:r>
        <w:rPr>
          <w:rFonts w:eastAsiaTheme="minorHAnsi"/>
          <w:lang w:eastAsia="en-US"/>
        </w:rPr>
        <w:t xml:space="preserve"> Указа Президента Российской Федерации от 19 октября 2022 года № 757 «О мерах, осуществляемых в субъектах Российской Федерации в связи с Указом Президента Российской Федерации от 19 октября 2022 г. № 756»;</w:t>
      </w:r>
    </w:p>
    <w:p w14:paraId="04D86C24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ж) граждан Российской Федерации, указанных в под</w:t>
      </w:r>
      <w:r>
        <w:fldChar w:fldCharType="begin"/>
      </w:r>
      <w:r>
        <w:instrText xml:space="preserve"> HYPERLINK \l "Par0" </w:instrText>
      </w:r>
      <w:r>
        <w:fldChar w:fldCharType="separate"/>
      </w:r>
      <w:r>
        <w:rPr>
          <w:rFonts w:eastAsiaTheme="minorHAnsi"/>
          <w:lang w:eastAsia="en-US"/>
        </w:rPr>
        <w:t xml:space="preserve">пунктах </w:t>
      </w:r>
      <w:r>
        <w:rPr>
          <w:rFonts w:eastAsiaTheme="minorHAnsi"/>
          <w:lang w:eastAsia="en-US"/>
        </w:rPr>
        <w:fldChar w:fldCharType="end"/>
      </w:r>
      <w:r>
        <w:rPr>
          <w:rFonts w:eastAsiaTheme="minorHAnsi"/>
          <w:lang w:eastAsia="en-US"/>
        </w:rPr>
        <w:t>«а» - «</w:t>
      </w:r>
      <w:r>
        <w:fldChar w:fldCharType="begin"/>
      </w:r>
      <w:r>
        <w:instrText xml:space="preserve"> HYPERLINK \l "Par4" </w:instrText>
      </w:r>
      <w:r>
        <w:fldChar w:fldCharType="separate"/>
      </w:r>
      <w:r>
        <w:rPr>
          <w:rFonts w:eastAsiaTheme="minorHAnsi"/>
          <w:lang w:eastAsia="en-US"/>
        </w:rPr>
        <w:t>д</w:t>
      </w:r>
      <w:r>
        <w:rPr>
          <w:rFonts w:eastAsiaTheme="minorHAnsi"/>
          <w:lang w:eastAsia="en-US"/>
        </w:rPr>
        <w:fldChar w:fldCharType="end"/>
      </w:r>
      <w:r>
        <w:rPr>
          <w:rFonts w:eastAsiaTheme="minorHAnsi"/>
          <w:lang w:eastAsia="en-US"/>
        </w:rPr>
        <w:t>»  настоящего пункта, погибших (умерших) в результате участия в специальной военной операции или в результате выполнения ими задач по отражению вооруженного вторжения, а также в ходе вооруженной провокации;</w:t>
      </w:r>
    </w:p>
    <w:p w14:paraId="59BD776C">
      <w:pPr>
        <w:pStyle w:val="12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Льгота на питание предоставляется обучающимся:</w:t>
      </w:r>
    </w:p>
    <w:p w14:paraId="1BAE6384">
      <w:pPr>
        <w:pStyle w:val="12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 малоимущих многодетных семей - на стоимость завтрака и обеда;</w:t>
      </w:r>
    </w:p>
    <w:p w14:paraId="4F8CE5C8">
      <w:pPr>
        <w:pStyle w:val="12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детям-сиротам и детям, оставшимся без попечения родителей - на стоимость завтрака и обеда;</w:t>
      </w:r>
    </w:p>
    <w:p w14:paraId="7EA293E9">
      <w:pPr>
        <w:pStyle w:val="12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детям-инвалидам - на стоимость завтрака и обеда;</w:t>
      </w:r>
    </w:p>
    <w:p w14:paraId="6B38C7E7">
      <w:pPr>
        <w:pStyle w:val="12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обучающиеся, осваивающие образовательные программы начального общего, основного общего и среднего общего образования, являющиеся членами семей на стоимость завтрака и обеда:</w:t>
      </w:r>
    </w:p>
    <w:p w14:paraId="62B27400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а) военнослужащих войск национальной гвардии Российской Федерации, лиц, проходящих службу в войсках национальной гвардии Российской Федерации и имеющих специальное звание полиции, принимающих участие в специальной военной операции на территориях Украины, Донецкой Народной Республики, Луганской Народной Республики, Херсонской и Запорожской областей (далее - специальная военная операция) или граждан Российской Федерации, выполняющих (выполнявших) задачи по отражению вооруженного вторжения на территорию Российской Федерации, а также в ходе вооруженной провокации на участках Государственной границы Российской Федерации и приграничных территориях субъектов Российской Федерации, прилегающих к районам проведения специальной военной операции (далее соответственно - отражение вооруженного вторжения, вооруженная провокация);</w:t>
      </w:r>
    </w:p>
    <w:p w14:paraId="7C9CF3A6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б) граждан Российской Федерации, призванных на военную службу по мобилизации в Вооруженные Силы Российской Федерации в соответствии с </w:t>
      </w:r>
      <w:r>
        <w:fldChar w:fldCharType="begin"/>
      </w:r>
      <w:r>
        <w:instrText xml:space="preserve"> HYPERLINK "https://login.consultant.ru/link/?req=doc&amp;base=LAW&amp;n=426999" </w:instrText>
      </w:r>
      <w:r>
        <w:fldChar w:fldCharType="separate"/>
      </w:r>
      <w:r>
        <w:rPr>
          <w:rFonts w:eastAsiaTheme="minorHAnsi"/>
          <w:color w:val="0000FF"/>
          <w:lang w:eastAsia="en-US"/>
        </w:rPr>
        <w:t>Указом</w:t>
      </w:r>
      <w:r>
        <w:rPr>
          <w:rFonts w:eastAsiaTheme="minorHAnsi"/>
          <w:color w:val="0000FF"/>
          <w:lang w:eastAsia="en-US"/>
        </w:rPr>
        <w:fldChar w:fldCharType="end"/>
      </w:r>
      <w:r>
        <w:rPr>
          <w:rFonts w:eastAsiaTheme="minorHAnsi"/>
          <w:lang w:eastAsia="en-US"/>
        </w:rPr>
        <w:t xml:space="preserve"> Президента Российской Федерации от 21 сентября 2022 года № 647 «Об объявлении частичной мобилизации в Российской Федерации», принимающих участие в специальной военной операции или выполняющих задачи по отражению вооруженного вторжения, а также в ходе вооруженной провокации;</w:t>
      </w:r>
    </w:p>
    <w:p w14:paraId="73671CC3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в) граждан Российской Федерации, заключивших контракт о добровольном содействии в выполнении задач, возложенных на Вооруженные Силы Российской Федерации, принимающих участие в специальной военной операции или выполняющих задачи по отражению вооруженного вторжения, а также в ходе вооруженной провокации;</w:t>
      </w:r>
    </w:p>
    <w:p w14:paraId="66C5A707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г) граждан Российской Федерации, проходящих военную службу в Вооруженных Силах Российской Федерации по контракту, проходящих военную службу по контракту в воинских частях, дислоцированных на территории Чувашской Республики, принимающих участие в специальной военной операции или выполняющих задачи по отражению вооруженного вторжения, а также в ходе вооруженной провокации;</w:t>
      </w:r>
    </w:p>
    <w:p w14:paraId="4DF5C2E3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д) сотрудников территориальных органов федеральных государственных органов, расположенных на территории Чувашской Республики, принимающих участие в специальной военной операции или выполняющих задачи по отражению вооруженного вторжения, а также в ходе вооруженной провокации;</w:t>
      </w:r>
    </w:p>
    <w:p w14:paraId="4821AFF6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е) граждан Российской Федерации, указанных в под</w:t>
      </w:r>
      <w:r>
        <w:fldChar w:fldCharType="begin"/>
      </w:r>
      <w:r>
        <w:instrText xml:space="preserve"> HYPERLINK \l "Par0" </w:instrText>
      </w:r>
      <w:r>
        <w:fldChar w:fldCharType="separate"/>
      </w:r>
      <w:r>
        <w:rPr>
          <w:rFonts w:eastAsiaTheme="minorHAnsi"/>
          <w:lang w:eastAsia="en-US"/>
        </w:rPr>
        <w:t xml:space="preserve">пунктах </w:t>
      </w:r>
      <w:r>
        <w:rPr>
          <w:rFonts w:eastAsiaTheme="minorHAnsi"/>
          <w:lang w:eastAsia="en-US"/>
        </w:rPr>
        <w:fldChar w:fldCharType="end"/>
      </w:r>
      <w:r>
        <w:rPr>
          <w:rFonts w:eastAsiaTheme="minorHAnsi"/>
          <w:lang w:eastAsia="en-US"/>
        </w:rPr>
        <w:t xml:space="preserve">а - </w:t>
      </w:r>
      <w:r>
        <w:fldChar w:fldCharType="begin"/>
      </w:r>
      <w:r>
        <w:instrText xml:space="preserve"> HYPERLINK \l "Par4" </w:instrText>
      </w:r>
      <w:r>
        <w:fldChar w:fldCharType="separate"/>
      </w:r>
      <w:r>
        <w:rPr>
          <w:rFonts w:eastAsiaTheme="minorHAnsi"/>
          <w:lang w:eastAsia="en-US"/>
        </w:rPr>
        <w:t>д</w:t>
      </w:r>
      <w:r>
        <w:rPr>
          <w:rFonts w:eastAsiaTheme="minorHAnsi"/>
          <w:lang w:eastAsia="en-US"/>
        </w:rPr>
        <w:fldChar w:fldCharType="end"/>
      </w:r>
      <w:r>
        <w:rPr>
          <w:rFonts w:eastAsiaTheme="minorHAnsi"/>
          <w:lang w:eastAsia="en-US"/>
        </w:rPr>
        <w:t xml:space="preserve"> настоящего пункта, которым установлена инвалидность I или II группы в результате увечья (ранения, травмы, контузии), полученного ими в ходе участия в специальной военной операции или в ходе отражения вооруженного вторжения, а также в ходе вооруженной провокации, на период до снятия режима (уровня базовой готовности), введенного </w:t>
      </w:r>
      <w:r>
        <w:fldChar w:fldCharType="begin"/>
      </w:r>
      <w:r>
        <w:instrText xml:space="preserve"> HYPERLINK "https://login.consultant.ru/link/?req=doc&amp;base=LAW&amp;n=455520&amp;dst=100021" </w:instrText>
      </w:r>
      <w:r>
        <w:fldChar w:fldCharType="separate"/>
      </w:r>
      <w:r>
        <w:rPr>
          <w:rFonts w:eastAsiaTheme="minorHAnsi"/>
          <w:color w:val="0000FF"/>
          <w:lang w:eastAsia="en-US"/>
        </w:rPr>
        <w:t>пунктом 5</w:t>
      </w:r>
      <w:r>
        <w:rPr>
          <w:rFonts w:eastAsiaTheme="minorHAnsi"/>
          <w:color w:val="0000FF"/>
          <w:lang w:eastAsia="en-US"/>
        </w:rPr>
        <w:fldChar w:fldCharType="end"/>
      </w:r>
      <w:r>
        <w:rPr>
          <w:rFonts w:eastAsiaTheme="minorHAnsi"/>
          <w:lang w:eastAsia="en-US"/>
        </w:rPr>
        <w:t xml:space="preserve"> Указа Президента Российской Федерации от 19 октября 2022 года № 757 «О мерах, осуществляемых в субъектах Российской Федерации в связи с Указом Президента Российской Федерации от 19 октября 2022 г. № 756»;</w:t>
      </w:r>
    </w:p>
    <w:p w14:paraId="5E7F53F4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ж) граждан Российской Федерации, указанных в под</w:t>
      </w:r>
      <w:r>
        <w:fldChar w:fldCharType="begin"/>
      </w:r>
      <w:r>
        <w:instrText xml:space="preserve"> HYPERLINK \l "Par0" </w:instrText>
      </w:r>
      <w:r>
        <w:fldChar w:fldCharType="separate"/>
      </w:r>
      <w:r>
        <w:rPr>
          <w:rFonts w:eastAsiaTheme="minorHAnsi"/>
          <w:lang w:eastAsia="en-US"/>
        </w:rPr>
        <w:t xml:space="preserve">пунктах </w:t>
      </w:r>
      <w:r>
        <w:rPr>
          <w:rFonts w:eastAsiaTheme="minorHAnsi"/>
          <w:lang w:eastAsia="en-US"/>
        </w:rPr>
        <w:fldChar w:fldCharType="end"/>
      </w:r>
      <w:r>
        <w:rPr>
          <w:rFonts w:eastAsiaTheme="minorHAnsi"/>
          <w:lang w:eastAsia="en-US"/>
        </w:rPr>
        <w:t>«а» - «</w:t>
      </w:r>
      <w:r>
        <w:fldChar w:fldCharType="begin"/>
      </w:r>
      <w:r>
        <w:instrText xml:space="preserve"> HYPERLINK \l "Par4" </w:instrText>
      </w:r>
      <w:r>
        <w:fldChar w:fldCharType="separate"/>
      </w:r>
      <w:r>
        <w:rPr>
          <w:rFonts w:eastAsiaTheme="minorHAnsi"/>
          <w:lang w:eastAsia="en-US"/>
        </w:rPr>
        <w:t>д</w:t>
      </w:r>
      <w:r>
        <w:rPr>
          <w:rFonts w:eastAsiaTheme="minorHAnsi"/>
          <w:lang w:eastAsia="en-US"/>
        </w:rPr>
        <w:fldChar w:fldCharType="end"/>
      </w:r>
      <w:r>
        <w:rPr>
          <w:rFonts w:eastAsiaTheme="minorHAnsi"/>
          <w:lang w:eastAsia="en-US"/>
        </w:rPr>
        <w:t>»  настоящего пункта, погибших (умерших) в результате участия в специальной военной операции или в результате выполнения ими задач по отражению вооруженного вторжения, а также в ходе вооруженной провокации;</w:t>
      </w:r>
    </w:p>
    <w:p w14:paraId="0B4EAB18">
      <w:pPr>
        <w:pStyle w:val="12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обучающимся с ограниченными возможностями здоровья - на стоимость завтрака и обеда.</w:t>
      </w:r>
    </w:p>
    <w:p w14:paraId="0FD4852F">
      <w:pPr>
        <w:pStyle w:val="12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Право на бесплатное двухразовое питание имеют дети, проживающие на территории Красночетайского муниципального округа Чувашской Республики, получающие образование вне организаций, осуществляющих образовательную деятельность (в форме семейного образования и самообразования), являющиеся членами семей, указанных в настоящем пункте.</w:t>
      </w:r>
    </w:p>
    <w:p w14:paraId="4F74923A">
      <w:pPr>
        <w:pStyle w:val="12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Обучающиеся по начальным образовательным программам начального общего образования в муниципальных общеобразовательных организациях Красночетайского муниципального округа Чувашской Республики не менее одного раза в день обеспечиваются бесплатным горячим питанием.</w:t>
      </w:r>
    </w:p>
    <w:p w14:paraId="353DA1BA">
      <w:pPr>
        <w:pStyle w:val="12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Порядок организации бесплатного горячего питания детей из многодетных малоимущих семей регулируется приложением № 3 настоящего постановления.</w:t>
      </w:r>
    </w:p>
    <w:p w14:paraId="39FC2729">
      <w:pPr>
        <w:pStyle w:val="12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наличии нескольких оснований для предоставления льготного питания ребенку предоставляется одна льгота по выбору родителей (законных представителей).</w:t>
      </w:r>
    </w:p>
    <w:p w14:paraId="624E375C">
      <w:pPr>
        <w:pStyle w:val="12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членам семей граждан, указанных в настоящем пункте относятся дети, в том числе находящиеся под опекой и попечительством.»;</w:t>
      </w:r>
    </w:p>
    <w:p w14:paraId="7168F3F2">
      <w:pPr>
        <w:pStyle w:val="7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Настоящее постановление вступает в силу после его официального опубликования в периодическом печатном издании «Вестник Красночетайского муниципального округа», подлежит размещению на официальном сайте Красночетайского муниципального округа в информационно-телекоммуникационной сети «Интернет» и распространяется на правоотношения, возникшие с 01.09.2025 года.</w:t>
      </w:r>
    </w:p>
    <w:p w14:paraId="6A786B75">
      <w:pPr>
        <w:pStyle w:val="7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firstLine="709"/>
        <w:jc w:val="both"/>
        <w:rPr>
          <w:rFonts w:ascii="Times New Roman" w:hAnsi="Times New Roman" w:eastAsia="Calibri" w:cs="Times New Roman"/>
          <w:sz w:val="24"/>
          <w:szCs w:val="24"/>
        </w:rPr>
      </w:pPr>
    </w:p>
    <w:p w14:paraId="633B8671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14:paraId="4BF27A21">
      <w:pPr>
        <w:jc w:val="both"/>
        <w:rPr>
          <w:sz w:val="26"/>
          <w:szCs w:val="26"/>
        </w:rPr>
      </w:pPr>
    </w:p>
    <w:p w14:paraId="4ED10C1C">
      <w:pPr>
        <w:jc w:val="both"/>
        <w:rPr>
          <w:sz w:val="26"/>
          <w:szCs w:val="26"/>
        </w:rPr>
      </w:pPr>
    </w:p>
    <w:p w14:paraId="7174BC84">
      <w:pPr>
        <w:jc w:val="both"/>
      </w:pPr>
      <w:r>
        <w:t>Глава Красночетайского</w:t>
      </w:r>
    </w:p>
    <w:p w14:paraId="23B4E5B7">
      <w:pPr>
        <w:jc w:val="both"/>
      </w:pPr>
      <w:r>
        <w:t>муниципального округа                                                                        И.Н. Михопаров</w:t>
      </w:r>
    </w:p>
    <w:p w14:paraId="565F1C64">
      <w:pPr>
        <w:jc w:val="both"/>
      </w:pPr>
    </w:p>
    <w:p w14:paraId="7E403826"/>
    <w:p w14:paraId="31FD6A3C"/>
    <w:p w14:paraId="1021B903"/>
    <w:p w14:paraId="23B42B03"/>
    <w:p w14:paraId="67E59432"/>
    <w:p w14:paraId="0B25BA9E"/>
    <w:p w14:paraId="63A74800"/>
    <w:p w14:paraId="0ED8C408"/>
    <w:p w14:paraId="0294635D"/>
    <w:p w14:paraId="527B17EA"/>
    <w:p w14:paraId="2BD7F711"/>
    <w:p w14:paraId="0688EC11"/>
    <w:p w14:paraId="6C390B93"/>
    <w:p w14:paraId="4B379294"/>
    <w:p w14:paraId="3695AE0E"/>
    <w:p w14:paraId="6542BFD3"/>
    <w:p w14:paraId="7B3A18C3"/>
    <w:p w14:paraId="16ED7DE6"/>
    <w:p w14:paraId="21DD3BEA"/>
    <w:p w14:paraId="34CCFC6B"/>
    <w:p w14:paraId="315420B7"/>
    <w:p w14:paraId="49B5DDE0"/>
    <w:p w14:paraId="09CC0C61"/>
    <w:p w14:paraId="1C564D53"/>
    <w:p w14:paraId="5BF70769"/>
    <w:p w14:paraId="53F39B9C"/>
    <w:sectPr>
      <w:pgSz w:w="11906" w:h="16838"/>
      <w:pgMar w:top="851" w:right="991" w:bottom="1134" w:left="1701" w:header="708" w:footer="708" w:gutter="0"/>
      <w:cols w:space="708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4B2"/>
    <w:rsid w:val="000F605B"/>
    <w:rsid w:val="00147188"/>
    <w:rsid w:val="001844D1"/>
    <w:rsid w:val="003258E6"/>
    <w:rsid w:val="00573A54"/>
    <w:rsid w:val="005F64B2"/>
    <w:rsid w:val="008965CA"/>
    <w:rsid w:val="009E6A8B"/>
    <w:rsid w:val="00A70718"/>
    <w:rsid w:val="00B3022A"/>
    <w:rsid w:val="00B54A80"/>
    <w:rsid w:val="00BA329B"/>
    <w:rsid w:val="00CB478C"/>
    <w:rsid w:val="00EF0CED"/>
    <w:rsid w:val="00EF6679"/>
    <w:rsid w:val="00F74C7F"/>
    <w:rsid w:val="186A0FC8"/>
    <w:rsid w:val="19E06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semiHidden="0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paragraph" w:styleId="2">
    <w:name w:val="heading 2"/>
    <w:basedOn w:val="1"/>
    <w:link w:val="8"/>
    <w:qFormat/>
    <w:uiPriority w:val="9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3">
    <w:name w:val="Default Paragraph Font"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6">
    <w:name w:val="Normal (Web)"/>
    <w:basedOn w:val="1"/>
    <w:uiPriority w:val="99"/>
    <w:pPr>
      <w:spacing w:before="100" w:beforeAutospacing="1" w:after="100" w:afterAutospacing="1"/>
    </w:pPr>
  </w:style>
  <w:style w:type="paragraph" w:styleId="7">
    <w:name w:val="HTML Preformatted"/>
    <w:basedOn w:val="1"/>
    <w:link w:val="11"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8">
    <w:name w:val="Заголовок 2 Знак"/>
    <w:basedOn w:val="3"/>
    <w:link w:val="2"/>
    <w:qFormat/>
    <w:uiPriority w:val="9"/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paragraph" w:customStyle="1" w:styleId="9">
    <w:name w:val="Таблицы (моноширинный)"/>
    <w:basedOn w:val="1"/>
    <w:next w:val="1"/>
    <w:qFormat/>
    <w:uiPriority w:val="0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10">
    <w:name w:val="Цветовое выделение"/>
    <w:qFormat/>
    <w:uiPriority w:val="0"/>
    <w:rPr>
      <w:b/>
      <w:bCs/>
      <w:color w:val="000080"/>
    </w:rPr>
  </w:style>
  <w:style w:type="character" w:customStyle="1" w:styleId="11">
    <w:name w:val="Стандартный HTML Знак"/>
    <w:basedOn w:val="3"/>
    <w:link w:val="7"/>
    <w:qFormat/>
    <w:uiPriority w:val="99"/>
    <w:rPr>
      <w:rFonts w:ascii="Courier New" w:hAnsi="Courier New" w:eastAsia="Times New Roman" w:cs="Courier New"/>
      <w:sz w:val="20"/>
      <w:szCs w:val="20"/>
      <w:lang w:eastAsia="ru-RU"/>
    </w:rPr>
  </w:style>
  <w:style w:type="paragraph" w:customStyle="1" w:styleId="12">
    <w:name w:val="ConsPlusNormal"/>
    <w:qFormat/>
    <w:uiPriority w:val="0"/>
    <w:pPr>
      <w:widowControl w:val="0"/>
      <w:autoSpaceDE w:val="0"/>
      <w:autoSpaceDN w:val="0"/>
      <w:spacing w:after="0" w:line="240" w:lineRule="auto"/>
    </w:pPr>
    <w:rPr>
      <w:rFonts w:ascii="Calibri" w:hAnsi="Calibri" w:eastAsia="Times New Roman" w:cs="Calibri"/>
      <w:sz w:val="22"/>
      <w:szCs w:val="20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1841</Words>
  <Characters>10494</Characters>
  <Lines>87</Lines>
  <Paragraphs>24</Paragraphs>
  <TotalTime>73</TotalTime>
  <ScaleCrop>false</ScaleCrop>
  <LinksUpToDate>false</LinksUpToDate>
  <CharactersWithSpaces>12311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2026-02-27T11:31:00Z</dcterms:created>
  <dc:creator>Михеев Владимир Владимирович</dc:creator>
  <cp:lastModifiedBy>Direktor</cp:lastModifiedBy>
  <dcterms:modified xsi:type="dcterms:W3CDTF">2026-03-11T11:17:49Z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CBB25EB21F104DEEBD22D63E2D1AC0DF_12</vt:lpwstr>
  </property>
</Properties>
</file>