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t>?                                                                                                                                                     </w:t>
      </w:r>
      <w:r w:rsidRPr="00441479">
        <w:rPr>
          <w:rFonts w:ascii="Times New Roman" w:eastAsia="Times New Roman" w:hAnsi="Times New Roman" w:cs="Calibri"/>
          <w:color w:val="000000"/>
          <w:sz w:val="20"/>
          <w:szCs w:val="24"/>
          <w:lang w:eastAsia="ru-RU"/>
        </w:rPr>
        <w:t>Утв. приказом Минфина РФ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0"/>
          <w:szCs w:val="24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от 28 декабря 2010 г. № 191н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i/>
          <w:color w:val="000000"/>
          <w:sz w:val="20"/>
          <w:szCs w:val="24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(в ред. от 16 ноября 2016 г.)</w:t>
      </w:r>
    </w:p>
    <w:p w:rsidR="00441479" w:rsidRPr="00441479" w:rsidRDefault="00441479" w:rsidP="00441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i/>
          <w:color w:val="000000"/>
          <w:sz w:val="20"/>
          <w:szCs w:val="24"/>
          <w:lang w:eastAsia="ru-RU"/>
        </w:rPr>
        <w:br/>
      </w:r>
      <w:r w:rsidRPr="00441479">
        <w:rPr>
          <w:rFonts w:ascii="Times New Roman" w:eastAsia="Times New Roman" w:hAnsi="Times New Roman" w:cs="Calibri"/>
          <w:i/>
          <w:color w:val="000000"/>
          <w:sz w:val="20"/>
          <w:szCs w:val="24"/>
          <w:lang w:eastAsia="ru-RU"/>
        </w:rPr>
        <w:br/>
      </w:r>
      <w:r w:rsidRPr="00441479">
        <w:rPr>
          <w:rFonts w:ascii="Times New Roman" w:eastAsia="Times New Roman" w:hAnsi="Times New Roman" w:cs="Calibri"/>
          <w:i/>
          <w:color w:val="000000"/>
          <w:sz w:val="20"/>
          <w:szCs w:val="24"/>
          <w:lang w:eastAsia="ru-RU"/>
        </w:rPr>
        <w:br/>
      </w:r>
      <w:r w:rsidRPr="00441479">
        <w:rPr>
          <w:rFonts w:ascii="Times New Roman" w:eastAsia="Times New Roman" w:hAnsi="Times New Roman" w:cs="Calibri"/>
          <w:i/>
          <w:color w:val="000000"/>
          <w:sz w:val="20"/>
          <w:szCs w:val="24"/>
          <w:lang w:eastAsia="ru-RU"/>
        </w:rPr>
        <w:br/>
      </w:r>
      <w:r w:rsidRPr="00441479">
        <w:rPr>
          <w:rFonts w:ascii="Times New Roman" w:eastAsia="Times New Roman" w:hAnsi="Times New Roman" w:cs="Calibri"/>
          <w:i/>
          <w:color w:val="000000"/>
          <w:sz w:val="20"/>
          <w:szCs w:val="24"/>
          <w:lang w:eastAsia="ru-RU"/>
        </w:rPr>
        <w:br/>
      </w:r>
    </w:p>
    <w:p w:rsidR="00441479" w:rsidRPr="00441479" w:rsidRDefault="00441479" w:rsidP="00441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t> </w:t>
      </w:r>
    </w:p>
    <w:tbl>
      <w:tblPr>
        <w:tblW w:w="108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3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70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441479" w:rsidRPr="00441479">
        <w:trPr>
          <w:trHeight w:val="285"/>
        </w:trPr>
        <w:tc>
          <w:tcPr>
            <w:tcW w:w="0" w:type="auto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Calibri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Calibri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Calibri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Calibri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Calibri"/>
                <w:color w:val="000000"/>
                <w:sz w:val="18"/>
                <w:szCs w:val="24"/>
                <w:lang w:eastAsia="ru-RU"/>
              </w:rPr>
              <w:br/>
            </w:r>
          </w:p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Calibri"/>
                <w:color w:val="000000"/>
                <w:sz w:val="18"/>
                <w:szCs w:val="24"/>
                <w:lang w:eastAsia="ru-RU"/>
              </w:rPr>
              <w:t> </w:t>
            </w:r>
          </w:p>
          <w:tbl>
            <w:tblPr>
              <w:tblW w:w="9585" w:type="dxa"/>
              <w:tblInd w:w="9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969"/>
              <w:gridCol w:w="222"/>
              <w:gridCol w:w="222"/>
              <w:gridCol w:w="222"/>
            </w:tblGrid>
            <w:tr w:rsidR="00441479" w:rsidRPr="00441479">
              <w:trPr>
                <w:trHeight w:val="270"/>
              </w:trPr>
              <w:tc>
                <w:tcPr>
                  <w:tcW w:w="59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9585" w:type="dxa"/>
                    <w:tblInd w:w="93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70"/>
                    <w:gridCol w:w="291"/>
                    <w:gridCol w:w="1083"/>
                    <w:gridCol w:w="1296"/>
                  </w:tblGrid>
                  <w:tr w:rsidR="00441479" w:rsidRPr="00441479">
                    <w:trPr>
                      <w:trHeight w:val="270"/>
                    </w:trPr>
                    <w:tc>
                      <w:tcPr>
                        <w:tcW w:w="59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b/>
                            <w:color w:val="000000"/>
                            <w:sz w:val="20"/>
                            <w:szCs w:val="24"/>
                            <w:lang w:eastAsia="ru-RU"/>
                          </w:rPr>
                          <w:t>                                                                                                 ПОЯСНИТЕЛЬНАЯ ЗАПИСКА</w:t>
                        </w:r>
                      </w:p>
                    </w:tc>
                    <w:tc>
                      <w:tcPr>
                        <w:tcW w:w="19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ahoma" w:eastAsia="Times New Roman" w:hAnsi="Tahoma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ahoma" w:eastAsia="Times New Roman" w:hAnsi="Tahoma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8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ahoma" w:eastAsia="Times New Roman" w:hAnsi="Tahoma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441479" w:rsidRPr="00441479">
                    <w:trPr>
                      <w:trHeight w:val="255"/>
                    </w:trPr>
                    <w:tc>
                      <w:tcPr>
                        <w:tcW w:w="59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ahoma" w:eastAsia="Times New Roman" w:hAnsi="Tahoma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ahoma" w:eastAsia="Times New Roman" w:hAnsi="Tahoma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ahoma" w:eastAsia="Times New Roman" w:hAnsi="Tahoma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80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18"/>
                            <w:szCs w:val="24"/>
                            <w:lang w:eastAsia="ru-RU"/>
                          </w:rPr>
                          <w:t>КОДЫ</w:t>
                        </w:r>
                      </w:p>
                    </w:tc>
                  </w:tr>
                  <w:tr w:rsidR="00441479" w:rsidRPr="00441479">
                    <w:trPr>
                      <w:trHeight w:val="282"/>
                    </w:trPr>
                    <w:tc>
                      <w:tcPr>
                        <w:tcW w:w="0" w:type="auto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ahoma" w:eastAsia="Times New Roman" w:hAnsi="Tahoma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18"/>
                            <w:szCs w:val="24"/>
                            <w:lang w:eastAsia="ru-RU"/>
                          </w:rPr>
                          <w:t>Форма по ОКУД</w:t>
                        </w:r>
                      </w:p>
                    </w:tc>
                    <w:tc>
                      <w:tcPr>
                        <w:tcW w:w="1680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18"/>
                            <w:szCs w:val="24"/>
                            <w:lang w:eastAsia="ru-RU"/>
                          </w:rPr>
                          <w:t>0503160</w:t>
                        </w:r>
                      </w:p>
                    </w:tc>
                  </w:tr>
                  <w:tr w:rsidR="00441479" w:rsidRPr="00441479">
                    <w:trPr>
                      <w:trHeight w:val="282"/>
                    </w:trPr>
                    <w:tc>
                      <w:tcPr>
                        <w:tcW w:w="0" w:type="auto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                         на   1 января 2025 г.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Дата</w:t>
                        </w:r>
                      </w:p>
                    </w:tc>
                    <w:tc>
                      <w:tcPr>
                        <w:tcW w:w="1680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01.01.2025</w:t>
                        </w:r>
                      </w:p>
                    </w:tc>
                  </w:tr>
                  <w:tr w:rsidR="00441479" w:rsidRPr="00441479">
                    <w:trPr>
                      <w:trHeight w:val="300"/>
                    </w:trPr>
                    <w:tc>
                      <w:tcPr>
                        <w:tcW w:w="59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Главный распорядитель, распорядитель,</w:t>
                        </w:r>
                      </w:p>
                    </w:tc>
                    <w:tc>
                      <w:tcPr>
                        <w:tcW w:w="19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80" w:type="dxa"/>
                        <w:tcBorders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441479" w:rsidRPr="00441479">
                    <w:trPr>
                      <w:trHeight w:val="195"/>
                    </w:trPr>
                    <w:tc>
                      <w:tcPr>
                        <w:tcW w:w="59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получатель бюджетных средств, главный администратор, </w:t>
                        </w:r>
                      </w:p>
                    </w:tc>
                    <w:tc>
                      <w:tcPr>
                        <w:tcW w:w="19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80" w:type="dxa"/>
                        <w:tcBorders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441479" w:rsidRPr="00441479">
                    <w:trPr>
                      <w:trHeight w:val="195"/>
                    </w:trPr>
                    <w:tc>
                      <w:tcPr>
                        <w:tcW w:w="59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администратор доходов бюджета,</w:t>
                        </w:r>
                      </w:p>
                    </w:tc>
                    <w:tc>
                      <w:tcPr>
                        <w:tcW w:w="19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 ОКПО</w:t>
                        </w:r>
                      </w:p>
                    </w:tc>
                    <w:tc>
                      <w:tcPr>
                        <w:tcW w:w="1680" w:type="dxa"/>
                        <w:tcBorders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441479" w:rsidRPr="00441479">
                    <w:trPr>
                      <w:trHeight w:val="195"/>
                    </w:trPr>
                    <w:tc>
                      <w:tcPr>
                        <w:tcW w:w="59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главный администратор, администратор</w:t>
                        </w:r>
                      </w:p>
                    </w:tc>
                    <w:tc>
                      <w:tcPr>
                        <w:tcW w:w="19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80" w:type="dxa"/>
                        <w:tcBorders>
                          <w:top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441479" w:rsidRPr="00441479">
                    <w:trPr>
                      <w:trHeight w:val="195"/>
                    </w:trPr>
                    <w:tc>
                      <w:tcPr>
                        <w:tcW w:w="59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администратор источников финансирования</w:t>
                        </w:r>
                      </w:p>
                    </w:tc>
                    <w:tc>
                      <w:tcPr>
                        <w:tcW w:w="19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80" w:type="dxa"/>
                        <w:tcBorders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441479" w:rsidRPr="00441479">
                    <w:tc>
                      <w:tcPr>
                        <w:tcW w:w="0" w:type="auto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дефицита бюджета    </w:t>
                        </w:r>
                        <w:r w:rsidRPr="0044147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u w:val="single"/>
                            <w:lang w:eastAsia="ru-RU"/>
                          </w:rPr>
                          <w:t xml:space="preserve">Муниципальное образование </w:t>
                        </w:r>
                        <w:proofErr w:type="spellStart"/>
                        <w:r w:rsidRPr="0044147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u w:val="single"/>
                            <w:lang w:eastAsia="ru-RU"/>
                          </w:rPr>
                          <w:t>г</w:t>
                        </w:r>
                        <w:proofErr w:type="gramStart"/>
                        <w:r w:rsidRPr="0044147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u w:val="single"/>
                            <w:lang w:eastAsia="ru-RU"/>
                          </w:rPr>
                          <w:t>.А</w:t>
                        </w:r>
                        <w:proofErr w:type="gramEnd"/>
                        <w:r w:rsidRPr="0044147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u w:val="single"/>
                            <w:lang w:eastAsia="ru-RU"/>
                          </w:rPr>
                          <w:t>латырь</w:t>
                        </w:r>
                        <w:proofErr w:type="spellEnd"/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        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Глава по БК</w:t>
                        </w:r>
                      </w:p>
                    </w:tc>
                    <w:tc>
                      <w:tcPr>
                        <w:tcW w:w="1680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441479" w:rsidRPr="00441479">
                    <w:trPr>
                      <w:trHeight w:val="280"/>
                    </w:trPr>
                    <w:tc>
                      <w:tcPr>
                        <w:tcW w:w="59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 бюджета</w:t>
                        </w:r>
                      </w:p>
                    </w:tc>
                    <w:tc>
                      <w:tcPr>
                        <w:tcW w:w="19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80" w:type="dxa"/>
                        <w:tcBorders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441479" w:rsidRPr="00441479">
                    <w:trPr>
                      <w:trHeight w:val="210"/>
                    </w:trPr>
                    <w:tc>
                      <w:tcPr>
                        <w:tcW w:w="0" w:type="auto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Calibri"/>
                            <w:color w:val="000000"/>
                            <w:sz w:val="24"/>
                            <w:szCs w:val="24"/>
                            <w:lang w:eastAsia="ru-RU"/>
                          </w:rPr>
                          <w:t>(публично-правового образования)    </w:t>
                        </w:r>
                        <w:r w:rsidRPr="0044147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u w:val="single"/>
                            <w:lang w:eastAsia="ru-RU"/>
                          </w:rPr>
                          <w:t>Бюджет городских округов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jc w:val="right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 ОКТМО</w:t>
                        </w:r>
                      </w:p>
                    </w:tc>
                    <w:tc>
                      <w:tcPr>
                        <w:tcW w:w="1680" w:type="dxa"/>
                        <w:tcBorders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jc w:val="center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97704000</w:t>
                        </w:r>
                      </w:p>
                    </w:tc>
                  </w:tr>
                  <w:tr w:rsidR="00441479" w:rsidRPr="00441479">
                    <w:trPr>
                      <w:trHeight w:val="315"/>
                    </w:trPr>
                    <w:tc>
                      <w:tcPr>
                        <w:tcW w:w="59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Периодичность:    месячная, квартальная, годовая</w:t>
                        </w:r>
                      </w:p>
                    </w:tc>
                    <w:tc>
                      <w:tcPr>
                        <w:tcW w:w="19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80" w:type="dxa"/>
                        <w:tcBorders>
                          <w:top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441479" w:rsidRPr="00441479">
                    <w:trPr>
                      <w:trHeight w:val="282"/>
                    </w:trPr>
                    <w:tc>
                      <w:tcPr>
                        <w:tcW w:w="0" w:type="auto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Единица измерения: руб.</w:t>
                        </w:r>
                      </w:p>
                    </w:tc>
                    <w:tc>
                      <w:tcPr>
                        <w:tcW w:w="19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jc w:val="right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   по ОКЕИ</w:t>
                        </w:r>
                      </w:p>
                    </w:tc>
                    <w:tc>
                      <w:tcPr>
                        <w:tcW w:w="1680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jc w:val="center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383</w:t>
                        </w:r>
                      </w:p>
                    </w:tc>
                  </w:tr>
                  <w:tr w:rsidR="00441479" w:rsidRPr="00441479">
                    <w:trPr>
                      <w:trHeight w:val="282"/>
                    </w:trPr>
                    <w:tc>
                      <w:tcPr>
                        <w:tcW w:w="0" w:type="auto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ahoma" w:eastAsia="Times New Roman" w:hAnsi="Tahoma" w:cs="Tahoma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ahoma" w:eastAsia="Times New Roman" w:hAnsi="Tahoma" w:cs="Tahoma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ahoma" w:eastAsia="Times New Roman" w:hAnsi="Tahoma" w:cs="Tahoma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8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ahoma" w:eastAsia="Times New Roman" w:hAnsi="Tahoma" w:cs="Tahoma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441479" w:rsidRPr="00441479">
                    <w:trPr>
                      <w:trHeight w:val="282"/>
                    </w:trPr>
                    <w:tc>
                      <w:tcPr>
                        <w:tcW w:w="0" w:type="auto"/>
                        <w:gridSpan w:val="4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441479" w:rsidRPr="00441479" w:rsidRDefault="00441479" w:rsidP="00441479">
                        <w:pPr>
                          <w:autoSpaceDE w:val="0"/>
                          <w:autoSpaceDN w:val="0"/>
                          <w:adjustRightInd w:val="0"/>
                          <w:spacing w:before="240" w:after="240" w:line="240" w:lineRule="auto"/>
                          <w:rPr>
                            <w:rFonts w:ascii="Times New Roman" w:eastAsia="Times New Roman" w:hAnsi="Times New Roman" w:cs="Calibri"/>
                            <w:sz w:val="24"/>
                            <w:szCs w:val="24"/>
                            <w:lang w:eastAsia="ru-RU"/>
                          </w:rPr>
                        </w:pPr>
                        <w:r w:rsidRPr="00441479">
                          <w:rPr>
                            <w:rFonts w:ascii="Tahoma" w:eastAsia="Times New Roman" w:hAnsi="Tahoma" w:cs="Tahoma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441479" w:rsidRPr="00441479" w:rsidRDefault="00441479" w:rsidP="0044147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441479" w:rsidRPr="00441479" w:rsidRDefault="00441479" w:rsidP="0044147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1479">
                    <w:rPr>
                      <w:rFonts w:ascii="Tahoma" w:eastAsia="Times New Roman" w:hAnsi="Tahoma" w:cs="Calibri"/>
                      <w:color w:val="000000"/>
                      <w:sz w:val="18"/>
                      <w:szCs w:val="24"/>
                      <w:lang w:eastAsia="ru-RU"/>
                    </w:rPr>
                    <w:lastRenderedPageBreak/>
                    <w:br/>
                  </w:r>
                  <w:r w:rsidRPr="00441479">
                    <w:rPr>
                      <w:rFonts w:ascii="Tahoma" w:eastAsia="Times New Roman" w:hAnsi="Tahoma" w:cs="Calibri"/>
                      <w:color w:val="000000"/>
                      <w:sz w:val="18"/>
                      <w:szCs w:val="24"/>
                      <w:lang w:eastAsia="ru-RU"/>
                    </w:rPr>
                    <w:br/>
                  </w:r>
                  <w:r w:rsidRPr="00441479">
                    <w:rPr>
                      <w:rFonts w:ascii="Tahoma" w:eastAsia="Times New Roman" w:hAnsi="Tahoma" w:cs="Calibri"/>
                      <w:color w:val="000000"/>
                      <w:sz w:val="18"/>
                      <w:szCs w:val="24"/>
                      <w:lang w:eastAsia="ru-RU"/>
                    </w:rPr>
                    <w:br/>
                  </w:r>
                  <w:r w:rsidRPr="00441479">
                    <w:rPr>
                      <w:rFonts w:ascii="Tahoma" w:eastAsia="Times New Roman" w:hAnsi="Tahoma" w:cs="Calibri"/>
                      <w:color w:val="000000"/>
                      <w:sz w:val="18"/>
                      <w:szCs w:val="24"/>
                      <w:lang w:eastAsia="ru-RU"/>
                    </w:rPr>
                    <w:br/>
                  </w:r>
                  <w:r w:rsidRPr="00441479">
                    <w:rPr>
                      <w:rFonts w:ascii="Tahoma" w:eastAsia="Times New Roman" w:hAnsi="Tahoma" w:cs="Calibri"/>
                      <w:color w:val="000000"/>
                      <w:sz w:val="18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5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441479" w:rsidRPr="00441479" w:rsidRDefault="00441479" w:rsidP="0044147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1479">
                    <w:rPr>
                      <w:rFonts w:ascii="Tahoma" w:eastAsia="Times New Roman" w:hAnsi="Tahoma" w:cs="Calibri"/>
                      <w:color w:val="000000"/>
                      <w:sz w:val="18"/>
                      <w:szCs w:val="24"/>
                      <w:lang w:eastAsia="ru-RU"/>
                    </w:rPr>
                    <w:br/>
                  </w:r>
                  <w:r w:rsidRPr="00441479">
                    <w:rPr>
                      <w:rFonts w:ascii="Tahoma" w:eastAsia="Times New Roman" w:hAnsi="Tahoma" w:cs="Calibri"/>
                      <w:color w:val="000000"/>
                      <w:sz w:val="18"/>
                      <w:szCs w:val="24"/>
                      <w:lang w:eastAsia="ru-RU"/>
                    </w:rPr>
                    <w:br/>
                  </w:r>
                  <w:r w:rsidRPr="00441479">
                    <w:rPr>
                      <w:rFonts w:ascii="Tahoma" w:eastAsia="Times New Roman" w:hAnsi="Tahoma" w:cs="Calibri"/>
                      <w:color w:val="000000"/>
                      <w:sz w:val="18"/>
                      <w:szCs w:val="24"/>
                      <w:lang w:eastAsia="ru-RU"/>
                    </w:rPr>
                    <w:br/>
                  </w:r>
                  <w:r w:rsidRPr="00441479">
                    <w:rPr>
                      <w:rFonts w:ascii="Tahoma" w:eastAsia="Times New Roman" w:hAnsi="Tahoma" w:cs="Calibri"/>
                      <w:color w:val="000000"/>
                      <w:sz w:val="18"/>
                      <w:szCs w:val="24"/>
                      <w:lang w:eastAsia="ru-RU"/>
                    </w:rPr>
                    <w:br/>
                  </w:r>
                  <w:r w:rsidRPr="00441479">
                    <w:rPr>
                      <w:rFonts w:ascii="Tahoma" w:eastAsia="Times New Roman" w:hAnsi="Tahoma" w:cs="Calibri"/>
                      <w:color w:val="000000"/>
                      <w:sz w:val="18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6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441479" w:rsidRPr="00441479" w:rsidRDefault="00441479" w:rsidP="0044147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1479">
                    <w:rPr>
                      <w:rFonts w:ascii="Tahoma" w:eastAsia="Times New Roman" w:hAnsi="Tahoma" w:cs="Calibri"/>
                      <w:color w:val="000000"/>
                      <w:sz w:val="18"/>
                      <w:szCs w:val="24"/>
                      <w:lang w:eastAsia="ru-RU"/>
                    </w:rPr>
                    <w:br/>
                  </w:r>
                  <w:r w:rsidRPr="00441479">
                    <w:rPr>
                      <w:rFonts w:ascii="Tahoma" w:eastAsia="Times New Roman" w:hAnsi="Tahoma" w:cs="Calibri"/>
                      <w:color w:val="000000"/>
                      <w:sz w:val="18"/>
                      <w:szCs w:val="24"/>
                      <w:lang w:eastAsia="ru-RU"/>
                    </w:rPr>
                    <w:br/>
                  </w:r>
                  <w:r w:rsidRPr="00441479">
                    <w:rPr>
                      <w:rFonts w:ascii="Tahoma" w:eastAsia="Times New Roman" w:hAnsi="Tahoma" w:cs="Calibri"/>
                      <w:color w:val="000000"/>
                      <w:sz w:val="18"/>
                      <w:szCs w:val="24"/>
                      <w:lang w:eastAsia="ru-RU"/>
                    </w:rPr>
                    <w:br/>
                  </w:r>
                  <w:r w:rsidRPr="00441479">
                    <w:rPr>
                      <w:rFonts w:ascii="Tahoma" w:eastAsia="Times New Roman" w:hAnsi="Tahoma" w:cs="Calibri"/>
                      <w:color w:val="000000"/>
                      <w:sz w:val="18"/>
                      <w:szCs w:val="24"/>
                      <w:lang w:eastAsia="ru-RU"/>
                    </w:rPr>
                    <w:br/>
                  </w:r>
                  <w:r w:rsidRPr="00441479">
                    <w:rPr>
                      <w:rFonts w:ascii="Tahoma" w:eastAsia="Times New Roman" w:hAnsi="Tahoma" w:cs="Calibri"/>
                      <w:color w:val="000000"/>
                      <w:sz w:val="18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lastRenderedPageBreak/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</w:tr>
      <w:tr w:rsidR="00441479" w:rsidRPr="0044147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lastRenderedPageBreak/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lastRenderedPageBreak/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  <w:p w:rsidR="00441479" w:rsidRPr="00441479" w:rsidRDefault="00441479" w:rsidP="0044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  <w:r w:rsidRPr="00441479">
              <w:rPr>
                <w:rFonts w:ascii="Tahoma" w:eastAsia="Times New Roman" w:hAnsi="Tahoma" w:cs="Tahoma"/>
                <w:color w:val="000000"/>
                <w:sz w:val="18"/>
                <w:szCs w:val="24"/>
                <w:lang w:eastAsia="ru-RU"/>
              </w:rPr>
              <w:br/>
            </w:r>
          </w:p>
        </w:tc>
      </w:tr>
    </w:tbl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Times New Roman"/>
          <w:color w:val="000000"/>
          <w:sz w:val="18"/>
          <w:szCs w:val="24"/>
          <w:lang w:eastAsia="ru-RU"/>
        </w:rPr>
        <w:lastRenderedPageBreak/>
        <w:t>             </w:t>
      </w: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Сведения представлены по состоянию на 01.01.2025 год.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Раздел 1.Организационная структура муниципального образования бюджетной отчетности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1.1 Полное наименование муниципального образования: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Муниципальное образование город Алатырь Чувашской Республики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1.2 Место нахождения (юридический адрес, почтовый адрес):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Чувашская республика, г. Алатырь.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1.3 Организационно-правовая форма муниципального образования: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ОКВЭД 84.11.3 Деятельность органов местного самоуправления районов, городов, внутригородских районов.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1.4 Структура органов местного самоуправления города Алатыря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структуру органов местного самоуправления города Алатыря входят: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 глава города Алатыря;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 Собрание депутатов города Алатыря;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 администрация города Алатыря.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Порядок формирования, полномочия, срок полномочий, подотчетность, подконтрольность органов местного самоуправления города Алатыря, а также иные вопросы организации и деятельности указанных органов определяются Уставом.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1.4 Количество подведомственных учреждений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Муниципальном образовании города Алатыря 39 учреждений из них 8 Главных распорядителей бюджетных средств, 21 бюджетных учреждений, 3 автономных учреждений, 1 казенное учреждение. Главным распорядителям бюджетных средств открыты лицевые счета в  Управлении Федерального Казначейства: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Администрация города Алатыря Чувашской Республики (01153003590, 03153003590,</w:t>
      </w: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t> </w:t>
      </w: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04153003590, 05153003590, </w:t>
      </w: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t> </w:t>
      </w: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06153003590, 08153003590</w:t>
      </w:r>
      <w:proofErr w:type="gramStart"/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)</w:t>
      </w:r>
      <w:proofErr w:type="gramEnd"/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;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Финансовый отдел администрации города Алатыря (01153003600, 03153003600, 04153003600, 05153003600, 06153003600, 08153003600)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Отдел имущественных и земельных отношений города Алатыря Чувашской Республики(01153020180, 03153020180,</w:t>
      </w: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t> </w:t>
      </w: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04153020180, 05153020180, 06153020180, 08153020180);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Отдел образования администрации города Алатыря Чувашской Республики (01153008800, 03153008800, 04153008800</w:t>
      </w:r>
      <w:proofErr w:type="gramStart"/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)</w:t>
      </w:r>
      <w:proofErr w:type="gramEnd"/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;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Отдел культуры администрации города Алатыря Чувашской Республики (01153008790,  03153008790, 04153008790);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Отдел архитектуры, градостроительства, транспорта, природопользования и ЖКХ администрации города Алатыря Чувашской Республики (01153D00770, 03153D00770,  04153D00770, 05153D00770</w:t>
      </w:r>
      <w:proofErr w:type="gramStart"/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)</w:t>
      </w:r>
      <w:proofErr w:type="gramEnd"/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;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Отдел </w:t>
      </w:r>
      <w:proofErr w:type="gramStart"/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записи актов гражданского состояния администрации города Алатыря Чувашской</w:t>
      </w:r>
      <w:proofErr w:type="gramEnd"/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Республики (01153D01510, 03153D01510, 04153D01510);</w:t>
      </w: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Собрание депутатов города Алатыря (01153D00550, 03153D00550, 04153D00550).</w:t>
      </w: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br/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br/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Раздел 2. Результаты деятельности муниципального образования бюджетной отчетности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          2.1 Сведения о мерах по повышению эффективности расходования бюджетных средств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 xml:space="preserve">Работа проделана по совершенствованию муниципальных бюджетных (автономных) учреждений, направленная на стимулирование </w:t>
      </w:r>
      <w:proofErr w:type="gramStart"/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персонала</w:t>
      </w:r>
      <w:proofErr w:type="gramEnd"/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повышение качества услуг.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 Совершенствование инструментов управления и контроля на всех стадиях способов муниципальных закупок, в том числе путем проведения открытых аукционов в электронной форме;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 Повышение эффективности предоставления муниципальных услуг;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 Повышение эффективности бюджетных расходов на основе муниципальных программ;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 Совершенствование процедур формирования и исполнения бюджета.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br/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Раздел 3. Анализ отчета об исполнении бюджета субъектом бюджетной отчетности.</w:t>
      </w: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441479">
        <w:rPr>
          <w:rFonts w:ascii="Times New Roman" w:eastAsia="Times New Roman" w:hAnsi="Times New Roman" w:cs="Calibri"/>
          <w:color w:val="000000"/>
          <w:sz w:val="27"/>
          <w:szCs w:val="24"/>
          <w:lang w:eastAsia="ru-RU"/>
        </w:rPr>
        <w:t xml:space="preserve">    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br/>
      </w:r>
    </w:p>
    <w:p w:rsidR="00441479" w:rsidRPr="00441479" w:rsidRDefault="00441479" w:rsidP="0044147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                                                                      Раздел 4. Анализ показателей бухгалтерской отчетности субъектом бюджетной отчетности.</w:t>
      </w: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color w:val="000000"/>
          <w:sz w:val="18"/>
          <w:szCs w:val="24"/>
          <w:lang w:eastAsia="ru-RU"/>
        </w:rPr>
        <w:br/>
      </w:r>
    </w:p>
    <w:p w:rsidR="00441479" w:rsidRPr="00441479" w:rsidRDefault="00441479" w:rsidP="00441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 форме 0503387_Приложение 1 по состоянию на 01.01.2025 г. остатки средств бюджета составляют 51 713 396,02 рублей, из них:</w:t>
      </w:r>
    </w:p>
    <w:p w:rsidR="00441479" w:rsidRPr="00441479" w:rsidRDefault="00441479" w:rsidP="00441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 остатки целевых средств  7 753 445, 24 рублей;</w:t>
      </w:r>
    </w:p>
    <w:p w:rsidR="00441479" w:rsidRPr="00441479" w:rsidRDefault="00441479" w:rsidP="00441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 остатки нецелевых средств 43 959 950,78 рублей.</w:t>
      </w: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br/>
        <w:t>По состоянию на 01.01.2025 г. остатки средств по дорожному фонду отсутствуют.</w:t>
      </w: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t> </w:t>
      </w:r>
    </w:p>
    <w:p w:rsidR="00441479" w:rsidRPr="00441479" w:rsidRDefault="00441479" w:rsidP="00441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441479" w:rsidRPr="00441479" w:rsidRDefault="00441479" w:rsidP="00441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форме 0503178_</w:t>
      </w:r>
      <w:proofErr w:type="gramStart"/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gramEnd"/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остатки по лицевым счетам, открытым в финансовом органе по средствам во временном распоряжении - 1 814 641,18 рублей.</w:t>
      </w: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41479" w:rsidRPr="00441479" w:rsidRDefault="00441479" w:rsidP="00441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отсутствием открытых счетов в кредитных </w:t>
      </w:r>
      <w:proofErr w:type="spellStart"/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организациях</w:t>
      </w:r>
      <w:proofErr w:type="gramStart"/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,о</w:t>
      </w:r>
      <w:proofErr w:type="gramEnd"/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статков</w:t>
      </w:r>
      <w:proofErr w:type="spellEnd"/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 на банковских счетах не имеется.</w:t>
      </w:r>
    </w:p>
    <w:p w:rsidR="00441479" w:rsidRPr="00441479" w:rsidRDefault="00441479" w:rsidP="00441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41479" w:rsidRPr="00441479" w:rsidRDefault="00441479" w:rsidP="00441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Расхождение по форме 0503169 БД (2023 год с 2024 годом) в сумме 17866424,80 рублей связано с некорректным отражением КБК. В 2023 году стоит по КБК 932 20229999040000150 в общей сумме 19112724,80 рублей, должно стоять по КБК 20230024040000150 в сумме 17866424,80 рублей. В 2024 году приведено в соответствие.</w:t>
      </w:r>
    </w:p>
    <w:p w:rsidR="00441479" w:rsidRPr="00441479" w:rsidRDefault="00441479" w:rsidP="00441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br/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Microsoft Sans Serif" w:eastAsia="Times New Roman" w:hAnsi="Microsoft Sans Serif" w:cs="Microsoft Sans Serif"/>
          <w:b/>
          <w:color w:val="222222"/>
          <w:sz w:val="21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 Раздел 5 «Прочие вопросы деятельности субъекта бюджетной отчетности»</w:t>
      </w:r>
      <w:r w:rsidRPr="00441479">
        <w:rPr>
          <w:rFonts w:ascii="Tahoma" w:eastAsia="Times New Roman" w:hAnsi="Tahoma" w:cs="Calibri"/>
          <w:b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b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b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b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Calibri"/>
          <w:b/>
          <w:color w:val="000000"/>
          <w:sz w:val="18"/>
          <w:szCs w:val="24"/>
          <w:lang w:eastAsia="ru-RU"/>
        </w:rPr>
        <w:br/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Microsoft Sans Serif" w:eastAsia="Times New Roman" w:hAnsi="Microsoft Sans Serif" w:cs="Calibri"/>
          <w:b/>
          <w:color w:val="222222"/>
          <w:sz w:val="21"/>
          <w:szCs w:val="24"/>
          <w:lang w:eastAsia="ru-RU"/>
        </w:rPr>
        <w:t xml:space="preserve">  </w:t>
      </w:r>
      <w:r w:rsidRPr="00441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441479">
        <w:rPr>
          <w:rFonts w:ascii="Times New Roman" w:eastAsia="Times New Roman" w:hAnsi="Times New Roman" w:cs="Calibri"/>
          <w:color w:val="000000"/>
          <w:sz w:val="27"/>
          <w:szCs w:val="24"/>
          <w:lang w:eastAsia="ru-RU"/>
        </w:rPr>
        <w:t>Бухгалтерский учет в учреждениях ведется с использованием специализированной бухгалтерской компьютерной программы (1С</w:t>
      </w:r>
      <w:proofErr w:type="gramStart"/>
      <w:r w:rsidRPr="00441479">
        <w:rPr>
          <w:rFonts w:ascii="Times New Roman" w:eastAsia="Times New Roman" w:hAnsi="Times New Roman" w:cs="Calibri"/>
          <w:color w:val="000000"/>
          <w:sz w:val="27"/>
          <w:szCs w:val="24"/>
          <w:lang w:eastAsia="ru-RU"/>
        </w:rPr>
        <w:t>:П</w:t>
      </w:r>
      <w:proofErr w:type="gramEnd"/>
      <w:r w:rsidRPr="00441479">
        <w:rPr>
          <w:rFonts w:ascii="Times New Roman" w:eastAsia="Times New Roman" w:hAnsi="Times New Roman" w:cs="Calibri"/>
          <w:color w:val="000000"/>
          <w:sz w:val="27"/>
          <w:szCs w:val="24"/>
          <w:lang w:eastAsia="ru-RU"/>
        </w:rPr>
        <w:t>редприятие 8, ПК «Смета-Смарт, Свод-Смарт, Свод-WEB). Аналитические и синтетические регистры бухгалтерского учета оформляются автоматизировано и распечатываются. Все учетные регистры бухгалтерского учета хранятся в архиве бухгалтерии учреждений на бумажных носителях в течение 5 лет.</w:t>
      </w:r>
    </w:p>
    <w:p w:rsidR="00441479" w:rsidRPr="00441479" w:rsidRDefault="00441479" w:rsidP="0044147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      Бухгалтерский учет ведется централизованно в финансовом отделе администрации города Алатыря и МКУ "ЦБУ и ФО г. Алатырь".</w:t>
      </w:r>
    </w:p>
    <w:p w:rsidR="00441479" w:rsidRPr="00441479" w:rsidRDefault="00441479" w:rsidP="00441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      Данные муниципального образования города Алатыря на бумажном носителе соответствуют данным на электронном носителе в программе Свод-смарт.</w:t>
      </w:r>
    </w:p>
    <w:p w:rsidR="00441479" w:rsidRPr="00441479" w:rsidRDefault="00441479" w:rsidP="00441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 </w:t>
      </w:r>
    </w:p>
    <w:p w:rsidR="00441479" w:rsidRPr="00441479" w:rsidRDefault="00441479" w:rsidP="0044147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Cs w:val="24"/>
          <w:lang w:eastAsia="ru-RU"/>
        </w:rPr>
      </w:pPr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Форма 0503160 (таблица 6), 0503173_</w:t>
      </w:r>
      <w:proofErr w:type="gramStart"/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СВ</w:t>
      </w:r>
      <w:proofErr w:type="gramEnd"/>
      <w:r w:rsidRPr="0044147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 предоставляется в связи с отсутствием данных.</w:t>
      </w: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br/>
      </w:r>
      <w:r w:rsidRPr="00441479">
        <w:rPr>
          <w:rFonts w:ascii="Tahoma" w:eastAsia="Times New Roman" w:hAnsi="Tahoma" w:cs="Tahoma"/>
          <w:color w:val="000000"/>
          <w:sz w:val="18"/>
          <w:szCs w:val="24"/>
          <w:lang w:eastAsia="ru-RU"/>
        </w:rPr>
        <w:br/>
      </w:r>
    </w:p>
    <w:p w:rsidR="008E7DED" w:rsidRDefault="008E7DED">
      <w:bookmarkStart w:id="0" w:name="_GoBack"/>
      <w:bookmarkEnd w:id="0"/>
    </w:p>
    <w:sectPr w:rsidR="008E7DED" w:rsidSect="00441479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79"/>
    <w:rsid w:val="00441479"/>
    <w:rsid w:val="008E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alatr_finance</dc:creator>
  <cp:lastModifiedBy>alatr_finance</cp:lastModifiedBy>
  <cp:revision>1</cp:revision>
  <dcterms:created xsi:type="dcterms:W3CDTF">2025-03-28T10:10:00Z</dcterms:created>
  <dcterms:modified xsi:type="dcterms:W3CDTF">2025-03-28T10:11:00Z</dcterms:modified>
</cp:coreProperties>
</file>