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Приложение №9</w:t>
      </w:r>
    </w:p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6C1EB2">
          <w:rPr>
            <w:rFonts w:ascii="Times New Roman" w:hAnsi="Times New Roman" w:cs="Times New Roman"/>
            <w:lang w:eastAsia="ru-RU"/>
          </w:rPr>
          <w:t>Порядку</w:t>
        </w:r>
      </w:hyperlink>
      <w:r w:rsidRPr="006C1EB2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6C1EB2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6C1EB2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4A678B" w:rsidRPr="006C1EB2" w:rsidRDefault="004A678B" w:rsidP="004A678B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6C1EB2">
        <w:rPr>
          <w:rFonts w:ascii="Times New Roman" w:hAnsi="Times New Roman" w:cs="Times New Roman"/>
          <w:lang w:eastAsia="ru-RU"/>
        </w:rPr>
        <w:t>Чувашской Республики</w:t>
      </w:r>
    </w:p>
    <w:p w:rsidR="004A678B" w:rsidRPr="006C1EB2" w:rsidRDefault="004A678B" w:rsidP="004A678B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Pr="006C1EB2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 реализации отраслевых целевых программ Порецкого муниципального округа и основных мероприятий муниципальной программы </w:t>
      </w:r>
    </w:p>
    <w:p w:rsidR="004A678B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Порецкого муниципального округа Чувашской Республики</w:t>
      </w:r>
      <w:r w:rsidRPr="006501EF">
        <w:t xml:space="preserve"> </w:t>
      </w:r>
      <w:r>
        <w:t>«</w:t>
      </w:r>
      <w:r w:rsidRPr="006501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p w:rsidR="004A678B" w:rsidRPr="006C1EB2" w:rsidRDefault="004A678B" w:rsidP="004A67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</w:t>
      </w:r>
      <w:r w:rsidR="00A4210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6C1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tbl>
      <w:tblPr>
        <w:tblpPr w:leftFromText="180" w:rightFromText="180" w:vertAnchor="text" w:horzAnchor="margin" w:tblpXSpec="center" w:tblpY="386"/>
        <w:tblW w:w="10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Республики), отраслевой целевой программы Порецкого муниципального округа Чувашской Республики,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выполнении соответствующего мероприятия</w:t>
            </w:r>
            <w:hyperlink w:anchor="sub_111111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hyperlink w:anchor="sub_111222" w:history="1">
              <w:r w:rsidRPr="006C1EB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(2)</w:t>
              </w:r>
            </w:hyperlink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Порецкого муниципального округа Чувашской Республики "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</w:t>
            </w:r>
            <w:r>
              <w:t xml:space="preserve"> 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энергоэффективности в бюджетных учреждениях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светильников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энергоэффективности в жилищном фонде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по программе капитального ремонта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>
              <w:t xml:space="preserve">  </w:t>
            </w:r>
            <w:r w:rsidRPr="006501EF">
              <w:rPr>
                <w:rFonts w:ascii="Times New Roman" w:hAnsi="Times New Roman" w:cs="Times New Roman"/>
              </w:rPr>
              <w:t>Энергосбережение и повышение энергоэффективности в коммунальной инфраструктуре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котлов, ремонт котельных</w:t>
            </w: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и правовое обеспечение мероприятий по энергосбережению и повышению энергоэффективности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энергоэффективности в промышленном секторе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 </w:t>
            </w:r>
            <w:r>
              <w:t xml:space="preserve"> 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технологий, использующих возобновляемые источники энергии и вторичные энергетические ресурсы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rPr>
          <w:trHeight w:val="998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использования энергоэффективных источников наружного освещения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678B" w:rsidRPr="006C1EB2" w:rsidTr="00324C35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t xml:space="preserve"> </w:t>
            </w:r>
            <w:r w:rsidRPr="006501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Энергосбережение и повышение энергоэффективности в транспортном комплексе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678B" w:rsidRPr="006C1EB2" w:rsidRDefault="004A678B" w:rsidP="00324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A678B" w:rsidRPr="007001B7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(1) Указываются значения "выполнено", "не выполнено", "частично выполнено".</w:t>
      </w:r>
    </w:p>
    <w:p w:rsidR="004A678B" w:rsidRDefault="004A678B" w:rsidP="004A678B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7001B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(2) Представляется краткая информация о проделанной работе и о достижении (недостижении)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округа). В случае недостижения установленных целевых показателей (индикаторов)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Республики) представляются пояснения причин недостижения.</w:t>
      </w:r>
    </w:p>
    <w:p w:rsidR="00634324" w:rsidRPr="00634324" w:rsidRDefault="00634324" w:rsidP="00634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Приложение №10</w:t>
      </w:r>
    </w:p>
    <w:p w:rsidR="00634324" w:rsidRPr="00634324" w:rsidRDefault="00634324" w:rsidP="0063432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к </w:t>
      </w:r>
      <w:hyperlink w:anchor="sub_1000" w:history="1">
        <w:r w:rsidRPr="00634324">
          <w:rPr>
            <w:rFonts w:ascii="Times New Roman" w:eastAsia="Times New Roman" w:hAnsi="Times New Roman" w:cs="Times New Roman"/>
            <w:b/>
            <w:color w:val="106BBE"/>
            <w:sz w:val="24"/>
            <w:szCs w:val="24"/>
            <w:lang w:eastAsia="ru-RU"/>
          </w:rPr>
          <w:t>Порядку</w:t>
        </w:r>
      </w:hyperlink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 xml:space="preserve"> разработки и реализации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муниципальных программ</w:t>
      </w: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Порецкого муниципального округа</w:t>
      </w:r>
    </w:p>
    <w:p w:rsidR="00634324" w:rsidRPr="00634324" w:rsidRDefault="00634324" w:rsidP="00634324">
      <w:pPr>
        <w:spacing w:after="0" w:line="240" w:lineRule="auto"/>
        <w:jc w:val="right"/>
        <w:rPr>
          <w:rFonts w:ascii="Calibri" w:eastAsia="Times New Roman" w:hAnsi="Calibri" w:cs="Times New Roman"/>
          <w:b/>
          <w:lang w:eastAsia="ru-RU"/>
        </w:rPr>
      </w:pPr>
      <w:r w:rsidRPr="00634324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Default="00634324" w:rsidP="00220ED4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Сведения</w:t>
      </w:r>
      <w:r w:rsidRPr="0063432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br/>
        <w:t>о достижении значений целевых показателей (индикаторов) муниципальной программы Порецкого муниципального округа</w:t>
      </w:r>
      <w:r w:rsidR="00220E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 xml:space="preserve"> </w:t>
      </w:r>
      <w:r w:rsidR="00220ED4" w:rsidRPr="00220ED4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p w:rsidR="00220ED4" w:rsidRPr="00634324" w:rsidRDefault="00220ED4" w:rsidP="00220ED4">
      <w:pPr>
        <w:widowControl w:val="0"/>
        <w:tabs>
          <w:tab w:val="left" w:pos="3480"/>
          <w:tab w:val="center" w:pos="7618"/>
        </w:tabs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32"/>
        <w:gridCol w:w="38"/>
        <w:gridCol w:w="1247"/>
        <w:gridCol w:w="2268"/>
        <w:gridCol w:w="1134"/>
        <w:gridCol w:w="1276"/>
        <w:gridCol w:w="846"/>
        <w:gridCol w:w="1534"/>
        <w:gridCol w:w="1540"/>
      </w:tblGrid>
      <w:tr w:rsidR="00634324" w:rsidRPr="00634324" w:rsidTr="000B0B48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5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Значения целевых показателей (индикаторов) муниципальной программы Порецкого муниципального округа Чувашской Республики, подпрограммы муниципальной программы </w:t>
            </w:r>
          </w:p>
        </w:tc>
        <w:tc>
          <w:tcPr>
            <w:tcW w:w="1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(</w:t>
            </w:r>
            <w:proofErr w:type="spellStart"/>
            <w:proofErr w:type="gram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индикато-ров</w:t>
            </w:r>
            <w:proofErr w:type="spellEnd"/>
            <w:proofErr w:type="gram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Порецкого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муници-пального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округа,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подпрогра-ммы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муници-пальной</w:t>
            </w:r>
            <w:proofErr w:type="spellEnd"/>
            <w:r w:rsidRPr="0063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(программы) на текущий год (план)</w:t>
            </w:r>
          </w:p>
        </w:tc>
      </w:tr>
      <w:tr w:rsidR="00634324" w:rsidRPr="00634324" w:rsidTr="000B0B4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год, предшествующий отчетному</w:t>
            </w:r>
            <w:hyperlink w:anchor="sub_7777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0"/>
                  <w:szCs w:val="20"/>
                  <w:lang w:eastAsia="ru-RU"/>
                </w:rPr>
                <w:t>*</w:t>
              </w:r>
            </w:hyperlink>
          </w:p>
        </w:tc>
        <w:tc>
          <w:tcPr>
            <w:tcW w:w="3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34324" w:rsidRPr="00634324" w:rsidTr="000B0B48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первона-чальный</w:t>
            </w:r>
            <w:proofErr w:type="spell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уточнен-ный</w:t>
            </w:r>
            <w:proofErr w:type="spellEnd"/>
            <w:proofErr w:type="gramEnd"/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план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</w:tr>
      <w:tr w:rsidR="00634324" w:rsidRPr="00634324" w:rsidTr="00513380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328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324" w:rsidRPr="00A16CFB" w:rsidRDefault="00634324" w:rsidP="005133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</w:pPr>
            <w:r w:rsidRPr="00A16CFB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>Муниципальная программа Порецкого муниципального округа Чувашской Республики</w:t>
            </w:r>
            <w:r w:rsidR="00A16CFB" w:rsidRPr="00A16CFB">
              <w:rPr>
                <w:b/>
                <w:bCs/>
              </w:rPr>
              <w:t xml:space="preserve"> </w:t>
            </w:r>
            <w:r w:rsidR="00220ED4" w:rsidRPr="00220E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t xml:space="preserve">«Энергосбережение и повышение энергетической </w:t>
            </w:r>
            <w:r w:rsidR="00220ED4" w:rsidRPr="00220ED4">
              <w:rPr>
                <w:rFonts w:ascii="Times New Roman CYR" w:eastAsia="Times New Roman" w:hAnsi="Times New Roman CYR" w:cs="Times New Roman CYR"/>
                <w:b/>
                <w:bCs/>
                <w:sz w:val="20"/>
                <w:szCs w:val="20"/>
                <w:lang w:eastAsia="ru-RU"/>
              </w:rPr>
              <w:lastRenderedPageBreak/>
              <w:t>эффективности в Порецком муниципальном округе Чувашской Республики на 2023-2025 годы и на период до 2035 года»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тепловой энергии приобретаемой по приборам учета, в общем объеме потребления тепловой энергии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90,3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электрической энергии приобретаемой по приборам учета, в общем объеме потребления электрической энергии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94,3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94,3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94,3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16CF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холодной воды приобретаемой по приборам учета, в общем объеме потребления холодной воды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99,7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99,7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99,7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99,7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16CF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потребления муниципальными учреждениями природного газа приобретаемого по приборам учета, в общем объеме потребления природного газа муниципальными учреждениями на территории Порецкого муниципального округа Чувашской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0,108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0,108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0,108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20,596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20,514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20,514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20,514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20,514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зданиями и помещениями учебно-воспитательного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2,624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2,624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2,624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2,624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природного газа зданиями и помещениями учебно-воспитательного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317,861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316,785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316,785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316,78</w:t>
            </w:r>
            <w:r w:rsidRPr="00D31E85">
              <w:lastRenderedPageBreak/>
              <w:t>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316,785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0,448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9,599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9,599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     11</w:t>
            </w:r>
          </w:p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2,052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2,052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2,052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2,052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2,052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зданиями и помещениями культурно-просветительного, развлекательного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307,662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306,501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306,501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306,501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306,501</w:t>
            </w:r>
          </w:p>
        </w:tc>
      </w:tr>
      <w:tr w:rsidR="000B0B48" w:rsidRPr="00634324" w:rsidTr="000B0B48">
        <w:trPr>
          <w:trHeight w:val="1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0,443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0,443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0,443</w:t>
            </w:r>
          </w:p>
        </w:tc>
      </w:tr>
      <w:tr w:rsidR="000B0B48" w:rsidRPr="00634324" w:rsidTr="000B0B48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зданиями и помещениями физкультурного, спортивного и физкультурно-досугового назначения муниципальных организаций, находящихся в 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62,068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61,225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61,225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61,225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61,225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Удельный расход холодной воды зданиями и помещениями физкультурного, спортивного и физкультурно-досугового назначения муниципальных организаций, находящихся в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ведении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7,671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7,671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7,671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7,671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0,248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0,248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22,804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22,804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22,804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22,804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8,768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8,689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8,689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8,689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8,689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407,865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406,599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406,599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406,599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406,599</w:t>
            </w:r>
          </w:p>
        </w:tc>
      </w:tr>
      <w:tr w:rsidR="000B0B48" w:rsidRPr="00634324" w:rsidTr="000B0B48">
        <w:trPr>
          <w:trHeight w:val="31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20</w:t>
            </w:r>
          </w:p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0,216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0,216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0,216</w:t>
            </w:r>
          </w:p>
        </w:tc>
      </w:tr>
      <w:tr w:rsidR="000B0B48" w:rsidRPr="00634324" w:rsidTr="000B0B48">
        <w:trPr>
          <w:trHeight w:val="60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21,84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21,716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21,716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21,716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21,716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3,474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3,474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3,474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3,474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на снабжение органов местного самоуправления и муниципальных учреждений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326,891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326,891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326,891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326,891</w:t>
            </w:r>
          </w:p>
        </w:tc>
      </w:tr>
      <w:tr w:rsidR="000B0B48" w:rsidRPr="00634324" w:rsidTr="000B0B48">
        <w:trPr>
          <w:trHeight w:val="22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оснащенных коллективными (общедомовыми) приборами учета тепловой энергии в общем числе многоквартирных домов,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60,6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60,6</w:t>
            </w:r>
          </w:p>
        </w:tc>
      </w:tr>
      <w:tr w:rsidR="000B0B48" w:rsidRPr="00634324" w:rsidTr="000B0B48">
        <w:trPr>
          <w:trHeight w:val="24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 xml:space="preserve">Доля многоквартирных домов, оснащенных коллективными (общедомовыми) приборами учета электрической энергии в общем числе многоквартирных домов, расположенных на территории Порецкого муниципального </w:t>
            </w:r>
            <w:r w:rsidRPr="005133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оснащенных коллективными (общедомовыми) приборами учета холодной воды в общем числе многоквартирных домов,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73,9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73,9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73,9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73,9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тепловой энергии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55,4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55,4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55,4</w:t>
            </w:r>
          </w:p>
        </w:tc>
      </w:tr>
      <w:tr w:rsidR="000B0B48" w:rsidRPr="00634324" w:rsidTr="000B0B48">
        <w:trPr>
          <w:trHeight w:val="21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электрической энергии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rPr>
          <w:trHeight w:val="24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холодной воды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90,2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90,2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жилых, нежилых помещений в многоквартирных домах, жилых домах (домовладениях), оснащенных индивидуальными приборами учета природного газа используемого на цели отопления в общем числе жилых, нежилых помещений в многоквартирных домах, жилых домах (домовладениях),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многоквартирных домов, расположенных на территории Порецкого муниципального округа Чувашской Республики, имеющих класс энергетической эффективности "В" и выше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6,8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энергоэффективных капитальных ремонтов многоквартирных домов в общем объеме проведенных капитальных ремонтов многоквартирных домов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тепловой энергии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0,183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0,183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0,183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0,183</w:t>
            </w:r>
          </w:p>
        </w:tc>
      </w:tr>
      <w:tr w:rsidR="000B0B48" w:rsidRPr="00634324" w:rsidTr="000B0B48">
        <w:trPr>
          <w:trHeight w:val="28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34</w:t>
            </w:r>
          </w:p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32,249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32,249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32,249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32,249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32,249</w:t>
            </w:r>
          </w:p>
        </w:tc>
      </w:tr>
      <w:tr w:rsidR="000B0B48" w:rsidRPr="00634324" w:rsidTr="000B0B48">
        <w:trPr>
          <w:trHeight w:val="165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холодной воды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13,754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13,754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13,754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13,754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13,754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Удельный расход природного газа используемого на цели отопления в многоквартирных домах, расположенных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м3/чел.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621,817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621,817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621,817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621,817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621,817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513380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13380">
              <w:rPr>
                <w:rFonts w:ascii="Times New Roman" w:hAnsi="Times New Roman" w:cs="Times New Roman"/>
                <w:sz w:val="16"/>
                <w:szCs w:val="16"/>
              </w:rPr>
              <w:t>Доля тепловой энергии, отпущенной в тепловые сети от источников тепловой энергии, функционирующих в режиме комбинированной выработки тепловой и электрической энергии, в общем объеме производства тепловой энергии в системах централизованного теплоснабжения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отпуск электрической энергии тепловыми электростанциями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./млн. кВтч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отпущенную тепловую энергию с коллекторов тепловых электростанций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./тыс.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топлива на отпущенную с коллекторов котельных в тепловую сеть тепловую энергию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т </w:t>
            </w:r>
            <w:proofErr w:type="spellStart"/>
            <w:r w:rsidRPr="00B60318">
              <w:t>у.т</w:t>
            </w:r>
            <w:proofErr w:type="spellEnd"/>
            <w:r w:rsidRPr="00B60318">
              <w:t>./тыс. Гкал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180,33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180,33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180,33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180,33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180,33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потерь электрической энергии при ее передаче по распределительным сетям в общем объеме переданной электрической </w:t>
            </w:r>
            <w:r w:rsidRPr="00A44C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энергии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9,2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9,2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42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потерь тепловой энергии при ее передаче в общем объеме переданной тепловой энергии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10,9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10,9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22,3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22,3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Удельное количество тепловой энергии, расходуемое на подогрев горячей воды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Гкал/м3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0,061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0,061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0,061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1,96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1,96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1,96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0,78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0,78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0,78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кВтч/м3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0,37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тепловой энергии, расчеты за которую осуществляются с использованием приборов учета, в общем объеме тепловой энергии,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91,5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91,5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91,5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объема электрической энергии, расчеты за которую осуществляются с </w:t>
            </w:r>
            <w:r w:rsidRPr="00A44CC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использованием приборов учета, в общем объеме электрической энергии,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lastRenderedPageBreak/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96,8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96,8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96,8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96,8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холодной воды, расчеты за которую осуществляются с использованием приборов учета, в общем объеме холодной воды,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82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82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горячей воды, расчеты за которую осуществляются с использованием приборов учета, в общем объеме горячей воды, потребляемой (используемой)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89,5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89,5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89,5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89,5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природного газа, расчеты за который осуществляются с использованием приборов учета, в общем объеме природного газа, потребляемого (используемого) на территории 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98,7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98,7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98,7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98,7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proofErr w:type="spell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энергосервисных</w:t>
            </w:r>
            <w:proofErr w:type="spell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договоров (контрактов), заключенных муниципальными образованиями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Доля муниципальных заказчиков в общем объеме муниципальных заказчиков Порецкого муниципального округа Чувашской </w:t>
            </w:r>
            <w:proofErr w:type="gram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Республики</w:t>
            </w:r>
            <w:proofErr w:type="gram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с которыми заключены </w:t>
            </w:r>
            <w:proofErr w:type="spellStart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энергосервисные</w:t>
            </w:r>
            <w:proofErr w:type="spellEnd"/>
            <w:r w:rsidRPr="00A44CC9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 (контракты)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3,7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3,7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3,7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(известняк, гипсовый камень)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0,324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0,324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0,324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0,324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(молочная продукция)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0,051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0,051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0,051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Энергоемкость промышленного производства для производства 3 видов продукции, работ (услуг), составляющих основную долю потребления энергетических ресурсов на территории Порецкого муниципального округа Чувашской Республики в сфере промышленного производства (молочная продукция)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 xml:space="preserve">кг </w:t>
            </w:r>
            <w:proofErr w:type="spellStart"/>
            <w:r w:rsidRPr="00B60318">
              <w:t>у.т</w:t>
            </w:r>
            <w:proofErr w:type="spellEnd"/>
            <w:r w:rsidRPr="00B60318">
              <w:t>./ед.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0,035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0,035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0,035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объема энергетических ресурсов (электрической энергии), производимых с использованием возобновляемых источников энергии и (или) вторичных энергетических ресурсов, в общем объеме энергетических ресурсов, производимых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Ввод мощностей генерирующих объектов, функционирующих на основе использования возобновляемых источников энергии, на территории Порецкого муниципального округа Чувашской Республики (без учета гидроэлектростанций установленной мощностью свыше 25 МВт)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МВт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Доля энергоэффективных источников света в системах уличного освещения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56,9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56,9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56,9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относящихся к общественному транспорту, регулирование тарифов на услуги по перевозке на котором осуществляется в Порецком муниципальном округе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смесями, сжиженным углеводородным газом, используемыми в качестве моторного топлива, и электрической энергией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относящихся к общественному транспорту, регулирование тарифов на услуги по перевозке на котором осуществляется в Порецком муниципальном округе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64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средств, используемых органами муниципальной власти, государственными учреждениями и государственными унитарными предприятиями Порецкого муниципального округа Чувашской Республики, в отношении которых проведены мероприятия по энергосбережению и повышению энергетической эффективности, в том числе по замещению бензина и дизельного топлива, используемых транспортными средствами в качестве моторного топлива, природным газом, газовыми смесями и сжиженным углеводородным газом, используемыми в качестве моторного топлива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6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6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транспортных средств с автономным источником электрического питания, используемых органами муниципальной власти, государственными учреждениями и государственными унитарными предприятиями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  <w:tr w:rsidR="000B0B48" w:rsidRPr="00634324" w:rsidTr="000B0B4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A44CC9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44CC9">
              <w:rPr>
                <w:rFonts w:ascii="Times New Roman" w:hAnsi="Times New Roman" w:cs="Times New Roman"/>
                <w:sz w:val="16"/>
                <w:szCs w:val="16"/>
              </w:rPr>
              <w:t>Количество электромобилей легковых с автономным источником электрического питания, зарегистрированных на территории Порецкого муниципального округа Чувашской Республики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634324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B60318">
              <w:t>ед.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19751B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D31E85">
              <w:t>0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B0B48" w:rsidRPr="0080700B" w:rsidRDefault="000B0B48" w:rsidP="000B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F76796">
              <w:t>0</w:t>
            </w:r>
          </w:p>
        </w:tc>
      </w:tr>
    </w:tbl>
    <w:p w:rsidR="00220ED4" w:rsidRDefault="00220ED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513380" w:rsidRDefault="00513380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220ED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lang w:eastAsia="ru-RU"/>
        </w:rPr>
      </w:pPr>
      <w:r w:rsidRPr="00634324">
        <w:rPr>
          <w:rFonts w:ascii="Courier New" w:eastAsia="Times New Roman" w:hAnsi="Courier New" w:cs="Courier New"/>
          <w:lang w:eastAsia="ru-RU"/>
        </w:rPr>
        <w:t>──────────────────────────────</w:t>
      </w:r>
    </w:p>
    <w:p w:rsidR="00634324" w:rsidRPr="00634324" w:rsidRDefault="00634324" w:rsidP="00634324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0" w:name="sub_7777"/>
      <w:r w:rsidRPr="00634324">
        <w:rPr>
          <w:rFonts w:ascii="Times New Roman" w:eastAsia="Times New Roman" w:hAnsi="Times New Roman" w:cs="Times New Roman"/>
          <w:lang w:eastAsia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0"/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634324" w:rsidP="00634324">
      <w:pPr>
        <w:spacing w:after="200" w:line="276" w:lineRule="auto"/>
        <w:jc w:val="right"/>
        <w:rPr>
          <w:rFonts w:ascii="Calibri" w:eastAsia="Times New Roman" w:hAnsi="Calibri" w:cs="Times New Roman"/>
          <w:bCs/>
          <w:color w:val="26282F"/>
          <w:sz w:val="24"/>
          <w:szCs w:val="24"/>
          <w:lang w:eastAsia="ru-RU"/>
        </w:rPr>
        <w:sectPr w:rsidR="00634324" w:rsidRPr="00634324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lastRenderedPageBreak/>
        <w:t>Приложение №11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Pr="00450A0D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4"/>
          <w:szCs w:val="24"/>
          <w:lang w:eastAsia="ru-RU"/>
        </w:rPr>
      </w:pP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t>Отчет</w:t>
      </w:r>
      <w:r w:rsidRPr="00AC7328">
        <w:rPr>
          <w:rFonts w:ascii="Times New Roman CYR" w:eastAsia="Times New Roman" w:hAnsi="Times New Roman CYR" w:cs="Times New Roman CYR"/>
          <w:b/>
          <w:color w:val="26282F"/>
          <w:sz w:val="24"/>
          <w:szCs w:val="24"/>
          <w:lang w:eastAsia="ru-RU"/>
        </w:rPr>
        <w:br/>
        <w:t>об использовании бюджетных ассигнований бюджета Порецкого муниципального округа Чувашской Республики на реализацию муниципальной программы Порецкого муниципального округа Чувашской Республики</w:t>
      </w:r>
      <w:r w:rsidR="0080700B" w:rsidRPr="00AC7328">
        <w:rPr>
          <w:b/>
        </w:rPr>
        <w:t xml:space="preserve"> </w:t>
      </w:r>
      <w:r w:rsidR="00450A0D" w:rsidRPr="00450A0D">
        <w:rPr>
          <w:rFonts w:ascii="Times New Roman" w:hAnsi="Times New Roman" w:cs="Times New Roman"/>
          <w:b/>
          <w:sz w:val="24"/>
          <w:szCs w:val="24"/>
        </w:rPr>
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324" w:rsidRPr="00634324" w:rsidTr="00ED2568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Наименование муниципальной программы Порецкого муниципального округа Чувашской Республики (подпрограммы муниципальной программы Порецкого муниципального округа Чувашской Республики,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Расходы, тыс. рублей</w:t>
            </w:r>
          </w:p>
        </w:tc>
      </w:tr>
      <w:tr w:rsidR="00634324" w:rsidRPr="00634324" w:rsidTr="00ED2568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план расходов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фактические расходы с начала реализации муниципальной программы Порецкого муниципального округа Чувашской Республики (подпрограммы муниципальной программы, программы)</w:t>
            </w:r>
          </w:p>
        </w:tc>
      </w:tr>
      <w:tr w:rsidR="00634324" w:rsidRPr="00634324" w:rsidTr="00ED2568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lang w:eastAsia="ru-RU"/>
              </w:rPr>
              <w:t>Муниципальная программа 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lang w:eastAsia="ru-RU"/>
              </w:rPr>
            </w:pPr>
            <w:r w:rsidRPr="00450A0D">
              <w:rPr>
                <w:rFonts w:ascii="Times New Roman CYR" w:eastAsia="Times New Roman" w:hAnsi="Times New Roman CYR" w:cs="Times New Roman CYR"/>
                <w:lang w:eastAsia="ru-RU"/>
              </w:rPr>
      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lang w:eastAsia="ru-RU"/>
              </w:rPr>
              <w:t>1873,3</w:t>
            </w:r>
          </w:p>
        </w:tc>
      </w:tr>
    </w:tbl>
    <w:p w:rsidR="00AC7328" w:rsidRPr="00634324" w:rsidRDefault="00AC7328" w:rsidP="00AC7328">
      <w:pPr>
        <w:spacing w:after="200" w:line="276" w:lineRule="auto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450A0D" w:rsidRDefault="00450A0D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Приложение №12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 xml:space="preserve">к </w:t>
      </w:r>
      <w:hyperlink w:anchor="sub_1000" w:history="1">
        <w:r w:rsidRPr="00AC7328">
          <w:rPr>
            <w:rFonts w:ascii="Times New Roman" w:hAnsi="Times New Roman" w:cs="Times New Roman"/>
            <w:color w:val="106BBE"/>
            <w:lang w:eastAsia="ru-RU"/>
          </w:rPr>
          <w:t>Порядку</w:t>
        </w:r>
      </w:hyperlink>
      <w:r w:rsidRPr="00AC7328">
        <w:rPr>
          <w:rFonts w:ascii="Times New Roman" w:hAnsi="Times New Roman" w:cs="Times New Roman"/>
          <w:lang w:eastAsia="ru-RU"/>
        </w:rPr>
        <w:t xml:space="preserve"> разработки и реализации</w:t>
      </w:r>
      <w:r w:rsidRPr="00AC7328">
        <w:rPr>
          <w:rFonts w:ascii="Times New Roman" w:hAnsi="Times New Roman" w:cs="Times New Roman"/>
          <w:lang w:eastAsia="ru-RU"/>
        </w:rPr>
        <w:br/>
        <w:t>муниципальных программ</w:t>
      </w:r>
      <w:r w:rsidRPr="00AC7328">
        <w:rPr>
          <w:rFonts w:ascii="Times New Roman" w:hAnsi="Times New Roman" w:cs="Times New Roman"/>
          <w:lang w:eastAsia="ru-RU"/>
        </w:rPr>
        <w:br/>
        <w:t>Порецкого муниципального округа</w:t>
      </w:r>
    </w:p>
    <w:p w:rsidR="00634324" w:rsidRPr="00AC7328" w:rsidRDefault="00634324" w:rsidP="00AC7328">
      <w:pPr>
        <w:pStyle w:val="a3"/>
        <w:jc w:val="right"/>
        <w:rPr>
          <w:rFonts w:ascii="Times New Roman" w:hAnsi="Times New Roman" w:cs="Times New Roman"/>
          <w:lang w:eastAsia="ru-RU"/>
        </w:rPr>
      </w:pPr>
      <w:r w:rsidRPr="00AC7328">
        <w:rPr>
          <w:rFonts w:ascii="Times New Roman" w:hAnsi="Times New Roman" w:cs="Times New Roman"/>
          <w:lang w:eastAsia="ru-RU"/>
        </w:rPr>
        <w:t>Чувашской Республики</w:t>
      </w:r>
    </w:p>
    <w:p w:rsidR="00634324" w:rsidRP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Информация 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br/>
        <w:t>о финансировании реализации муниципальной программы Порецкого муниципального округа Чувашской Республики</w:t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за счет всех источников финансирования </w:t>
      </w: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</w:pP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за </w:t>
      </w:r>
      <w:r w:rsidR="00AC7328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202</w:t>
      </w:r>
      <w:r w:rsidR="00A4210F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>4</w:t>
      </w:r>
      <w:r w:rsidRPr="00634324">
        <w:rPr>
          <w:rFonts w:ascii="Times New Roman CYR" w:eastAsia="Times New Roman" w:hAnsi="Times New Roman CYR" w:cs="Times New Roman CYR"/>
          <w:bCs/>
          <w:sz w:val="24"/>
          <w:szCs w:val="24"/>
          <w:lang w:eastAsia="ru-RU"/>
        </w:rPr>
        <w:t xml:space="preserve"> год</w:t>
      </w:r>
    </w:p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324" w:rsidRPr="00634324" w:rsidTr="00ED2568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bookmarkStart w:id="1" w:name="sub_7111623"/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Статус</w:t>
            </w:r>
            <w:bookmarkEnd w:id="1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План, тыс. рублей</w:t>
            </w:r>
            <w:hyperlink w:anchor="sub_8888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Фактические расходы, тыс. рублей</w:t>
            </w:r>
            <w:hyperlink w:anchor="sub_9999" w:history="1">
              <w:r w:rsidRPr="00634324">
                <w:rPr>
                  <w:rFonts w:ascii="Times New Roman CYR" w:eastAsia="Times New Roman" w:hAnsi="Times New Roman CYR" w:cs="Times New Roman"/>
                  <w:b/>
                  <w:color w:val="106BBE"/>
                  <w:sz w:val="21"/>
                  <w:szCs w:val="21"/>
                  <w:lang w:eastAsia="ru-RU"/>
                </w:rPr>
                <w:t>**</w:t>
              </w:r>
            </w:hyperlink>
          </w:p>
        </w:tc>
      </w:tr>
      <w:tr w:rsidR="00634324" w:rsidRPr="00634324" w:rsidTr="00ED2568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5</w:t>
            </w:r>
          </w:p>
        </w:tc>
      </w:tr>
      <w:tr w:rsidR="00634324" w:rsidRPr="00634324" w:rsidTr="00ED2568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450A0D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«Энергосбережение и повышение энергетической эффективности в Порецком муниципальном округе Чувашской Республики на 2023-2025 годы и на период до 2035 года»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634324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  <w:tr w:rsidR="00634324" w:rsidRPr="00634324" w:rsidTr="00ED2568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634324" w:rsidP="006343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34324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324" w:rsidRPr="00634324" w:rsidRDefault="00450A0D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1873,3</w:t>
            </w:r>
          </w:p>
        </w:tc>
      </w:tr>
      <w:tr w:rsidR="00AC7328" w:rsidRPr="00634324" w:rsidTr="00BC7B4C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617303" w:rsidP="00AC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  <w:r w:rsidRPr="00617303"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328" w:rsidRPr="00634324" w:rsidRDefault="00AC7328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7328" w:rsidRPr="00634324" w:rsidRDefault="00AC7328" w:rsidP="006173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1"/>
                <w:szCs w:val="21"/>
                <w:lang w:eastAsia="ru-RU"/>
              </w:rPr>
            </w:pPr>
          </w:p>
        </w:tc>
      </w:tr>
    </w:tbl>
    <w:p w:rsidR="00634324" w:rsidRPr="00634324" w:rsidRDefault="00634324" w:rsidP="00634324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:rsidR="00634324" w:rsidRPr="00634324" w:rsidRDefault="00634324" w:rsidP="0063432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34324">
        <w:rPr>
          <w:rFonts w:ascii="Times New Roman" w:eastAsia="Times New Roman" w:hAnsi="Times New Roman" w:cs="Times New Roman"/>
          <w:lang w:eastAsia="ru-RU"/>
        </w:rPr>
        <w:t>──────────────────────────────</w:t>
      </w:r>
    </w:p>
    <w:p w:rsidR="00634324" w:rsidRPr="00634324" w:rsidRDefault="00634324" w:rsidP="00634324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8888"/>
      <w:r w:rsidRPr="00634324">
        <w:rPr>
          <w:rFonts w:ascii="Times New Roman" w:eastAsia="Times New Roman" w:hAnsi="Times New Roman" w:cs="Times New Roman"/>
          <w:lang w:eastAsia="ru-RU"/>
        </w:rPr>
        <w:t xml:space="preserve">* В </w:t>
      </w:r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муниципальной программой Порецкого муниципального округа Чувашской Республики.</w:t>
      </w:r>
    </w:p>
    <w:p w:rsidR="00634324" w:rsidRPr="00450A0D" w:rsidRDefault="00634324" w:rsidP="00450A0D">
      <w:pPr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bookmarkStart w:id="3" w:name="sub_9999"/>
      <w:bookmarkEnd w:id="2"/>
      <w:r w:rsidRPr="00634324">
        <w:rPr>
          <w:rFonts w:ascii="Times New Roman" w:eastAsia="Times New Roman" w:hAnsi="Times New Roman" w:cs="Times New Roman"/>
          <w:sz w:val="24"/>
          <w:szCs w:val="24"/>
          <w:lang w:eastAsia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bookmarkEnd w:id="3"/>
    </w:p>
    <w:p w:rsidR="00634324" w:rsidRDefault="00634324" w:rsidP="00634324">
      <w:pPr>
        <w:spacing w:after="200" w:line="276" w:lineRule="auto"/>
        <w:jc w:val="right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</w:p>
    <w:sectPr w:rsidR="00634324" w:rsidSect="00AC732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4324"/>
    <w:rsid w:val="000B0B48"/>
    <w:rsid w:val="000B454F"/>
    <w:rsid w:val="001B48D4"/>
    <w:rsid w:val="00212F60"/>
    <w:rsid w:val="00220ED4"/>
    <w:rsid w:val="002C295F"/>
    <w:rsid w:val="00450A0D"/>
    <w:rsid w:val="00457C94"/>
    <w:rsid w:val="004A678B"/>
    <w:rsid w:val="00513380"/>
    <w:rsid w:val="00617303"/>
    <w:rsid w:val="00634324"/>
    <w:rsid w:val="008036DF"/>
    <w:rsid w:val="0080700B"/>
    <w:rsid w:val="009172EB"/>
    <w:rsid w:val="009A318A"/>
    <w:rsid w:val="00A16CFB"/>
    <w:rsid w:val="00A4210F"/>
    <w:rsid w:val="00A44CC9"/>
    <w:rsid w:val="00A86454"/>
    <w:rsid w:val="00AC7328"/>
    <w:rsid w:val="00AC7D8B"/>
    <w:rsid w:val="00AD25DB"/>
    <w:rsid w:val="00B427D6"/>
    <w:rsid w:val="00B752C5"/>
    <w:rsid w:val="00B76956"/>
    <w:rsid w:val="00C660E6"/>
    <w:rsid w:val="00C86806"/>
    <w:rsid w:val="00D143C1"/>
    <w:rsid w:val="00DE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73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1E685-E87A-4934-B6CD-5B933FFED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Овсянкина Людмила Александровна</dc:creator>
  <cp:lastModifiedBy>Economy-PMO</cp:lastModifiedBy>
  <cp:revision>2</cp:revision>
  <dcterms:created xsi:type="dcterms:W3CDTF">2025-02-19T08:15:00Z</dcterms:created>
  <dcterms:modified xsi:type="dcterms:W3CDTF">2025-02-19T08:15:00Z</dcterms:modified>
</cp:coreProperties>
</file>