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F3" w:rsidRDefault="00D756F3" w:rsidP="00D756F3">
      <w:pPr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756F3" w:rsidRPr="00D756F3" w:rsidRDefault="00D756F3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1</w:t>
      </w:r>
    </w:p>
    <w:p w:rsidR="00D756F3" w:rsidRPr="00D756F3" w:rsidRDefault="00D756F3" w:rsidP="00D756F3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плану системных мероприятий («дорожной карте»)</w:t>
      </w:r>
    </w:p>
    <w:p w:rsidR="00D756F3" w:rsidRPr="00D756F3" w:rsidRDefault="00D756F3" w:rsidP="00D756F3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содействию развитию конкуренции в Чувашской Республике</w:t>
      </w:r>
      <w:r w:rsid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плану мероприятий («</w:t>
      </w:r>
      <w:r w:rsidR="00CD0B57" w:rsidRP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</w:t>
      </w:r>
      <w:r w:rsid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карты»</w:t>
      </w:r>
      <w:r w:rsidR="00CD0B57" w:rsidRP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содействию развитию конкуренции на товарных рынках Чувашской</w:t>
      </w:r>
      <w:r w:rsid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22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распоряжению № 513-рг)</w:t>
      </w:r>
    </w:p>
    <w:p w:rsidR="00D756F3" w:rsidRPr="00D756F3" w:rsidRDefault="00D756F3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565"/>
        <w:gridCol w:w="5512"/>
      </w:tblGrid>
      <w:tr w:rsidR="00D756F3" w:rsidRPr="00D756F3" w:rsidTr="00743C1F">
        <w:tc>
          <w:tcPr>
            <w:tcW w:w="699" w:type="dxa"/>
            <w:shd w:val="clear" w:color="auto" w:fill="auto"/>
          </w:tcPr>
          <w:p w:rsidR="00D756F3" w:rsidRPr="00D756F3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4" w:type="dxa"/>
            <w:shd w:val="clear" w:color="auto" w:fill="auto"/>
          </w:tcPr>
          <w:p w:rsidR="00D756F3" w:rsidRPr="00D756F3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5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мероприятия /срок исполнения/ответственные исполнители</w:t>
            </w:r>
          </w:p>
          <w:p w:rsidR="00D756F3" w:rsidRPr="00D756F3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5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(в соответствии с приложением 1</w:t>
            </w:r>
            <w:r w:rsidR="00B564E1" w:rsidRPr="007A4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2</w:t>
            </w:r>
            <w:r w:rsidRPr="00D75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распоряжения</w:t>
            </w:r>
          </w:p>
          <w:p w:rsidR="00D756F3" w:rsidRPr="00D756F3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5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Главы Чувашской Республики</w:t>
            </w:r>
          </w:p>
          <w:p w:rsidR="00D756F3" w:rsidRPr="00D756F3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28 декабря 2019 г. № 513-рг)</w:t>
            </w:r>
          </w:p>
        </w:tc>
        <w:tc>
          <w:tcPr>
            <w:tcW w:w="5103" w:type="dxa"/>
            <w:shd w:val="clear" w:color="auto" w:fill="auto"/>
          </w:tcPr>
          <w:p w:rsidR="00D756F3" w:rsidRPr="00D756F3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ходе реализации мероприятия</w:t>
            </w:r>
          </w:p>
        </w:tc>
      </w:tr>
      <w:tr w:rsidR="00D756F3" w:rsidRPr="00D756F3" w:rsidTr="00743C1F">
        <w:tc>
          <w:tcPr>
            <w:tcW w:w="699" w:type="dxa"/>
            <w:shd w:val="clear" w:color="auto" w:fill="auto"/>
          </w:tcPr>
          <w:p w:rsidR="00D756F3" w:rsidRPr="00D756F3" w:rsidRDefault="00950038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974" w:type="dxa"/>
            <w:shd w:val="clear" w:color="auto" w:fill="auto"/>
          </w:tcPr>
          <w:p w:rsidR="00D756F3" w:rsidRPr="00D756F3" w:rsidRDefault="00950038" w:rsidP="00006B12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50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перечней государственных (муниципальных) объектов недвижимого имущества в социальной сфере и их размещение на официальных сайтах органов исполнительной власти Чувашской Республики и органов местного самоуправления муниципальных районов, муниципальных округов и городских округов на Портале органов влас</w:t>
            </w:r>
            <w:r w:rsidR="0000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Чувашской Республики в сети «</w:t>
            </w:r>
            <w:r w:rsidRPr="00950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00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9D1444" w:rsidRPr="00BB01ED" w:rsidRDefault="00BB01ED" w:rsidP="00D05189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https://yantik.cap.ru/action/activity/imuschestvo/uchet-municipaljnogo-imuschestva-yantikovskogo-raj/reestr-municipaljnogo-imuschestva-yantikovskogo-ra</w:t>
            </w:r>
          </w:p>
        </w:tc>
      </w:tr>
      <w:tr w:rsidR="00950038" w:rsidRPr="00D756F3" w:rsidTr="00743C1F">
        <w:tc>
          <w:tcPr>
            <w:tcW w:w="699" w:type="dxa"/>
            <w:shd w:val="clear" w:color="auto" w:fill="auto"/>
          </w:tcPr>
          <w:p w:rsidR="00950038" w:rsidRDefault="007A42AE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974" w:type="dxa"/>
            <w:shd w:val="clear" w:color="auto" w:fill="auto"/>
          </w:tcPr>
          <w:p w:rsidR="007A42AE" w:rsidRPr="007A42AE" w:rsidRDefault="007A42AE" w:rsidP="007A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государственных (муниципальных) объектов недвижимого имущества, включая не используемые по назначению, негосударственным организациям с применением механизмов государственно-частного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таких сферах деятельности, как дошкольное образование, организация отдыха детей и их оздоровления, здравоохранение, социальное обслуживание населения</w:t>
            </w:r>
          </w:p>
          <w:p w:rsidR="00950038" w:rsidRDefault="00950038" w:rsidP="00D756F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50038" w:rsidRPr="00D756F3" w:rsidRDefault="00E51BDD" w:rsidP="00E51BDD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муниципального имущества, использованного в сфере дошкольного образования, организации отдыха детей и их оздоровления, здравоохранения, социального обслуживания населения с применением механизмов государственно-частного партнерства не проводилась.</w:t>
            </w:r>
          </w:p>
        </w:tc>
      </w:tr>
      <w:tr w:rsidR="00950038" w:rsidRPr="00D756F3" w:rsidTr="00743C1F">
        <w:tc>
          <w:tcPr>
            <w:tcW w:w="699" w:type="dxa"/>
            <w:shd w:val="clear" w:color="auto" w:fill="auto"/>
          </w:tcPr>
          <w:p w:rsidR="00950038" w:rsidRDefault="007A42AE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14.1</w:t>
            </w:r>
          </w:p>
        </w:tc>
        <w:tc>
          <w:tcPr>
            <w:tcW w:w="3974" w:type="dxa"/>
            <w:shd w:val="clear" w:color="auto" w:fill="auto"/>
          </w:tcPr>
          <w:p w:rsidR="00950038" w:rsidRDefault="007A42AE" w:rsidP="00D756F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размещение информации о реализации государственного имущества Чувашской Республики и муниципального имущества, в том числе о предоставлении его в аренду, на официальных сайтах Минэкономразвития Чувашии и органов местного самоуправления на Портале органов власти Чувашской Республики в сети "Интернет"</w:t>
            </w:r>
          </w:p>
        </w:tc>
        <w:tc>
          <w:tcPr>
            <w:tcW w:w="5103" w:type="dxa"/>
            <w:shd w:val="clear" w:color="auto" w:fill="auto"/>
          </w:tcPr>
          <w:p w:rsidR="009D1444" w:rsidRPr="00D756F3" w:rsidRDefault="00BB01ED" w:rsidP="00BB01ED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https://yantik.cap.ru/action/activity/konkursi-i-aukcioni</w:t>
            </w:r>
          </w:p>
        </w:tc>
      </w:tr>
      <w:tr w:rsidR="00950038" w:rsidRPr="00D756F3" w:rsidTr="00743C1F">
        <w:tc>
          <w:tcPr>
            <w:tcW w:w="699" w:type="dxa"/>
            <w:shd w:val="clear" w:color="auto" w:fill="auto"/>
          </w:tcPr>
          <w:p w:rsidR="00950038" w:rsidRDefault="007A42AE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3974" w:type="dxa"/>
            <w:shd w:val="clear" w:color="auto" w:fill="auto"/>
          </w:tcPr>
          <w:p w:rsidR="007A42AE" w:rsidRPr="007A42AE" w:rsidRDefault="007A42AE" w:rsidP="007A42AE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7A42AE" w:rsidRPr="007A42AE" w:rsidRDefault="007A42AE" w:rsidP="007A42AE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приватизации муниципального имущества, в том числе проведение публичных торгов;</w:t>
            </w:r>
          </w:p>
          <w:p w:rsidR="00950038" w:rsidRDefault="007A42AE" w:rsidP="007A42AE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перепрофилирование (изменение целевого назначения имущества)</w:t>
            </w:r>
          </w:p>
        </w:tc>
        <w:tc>
          <w:tcPr>
            <w:tcW w:w="5103" w:type="dxa"/>
            <w:shd w:val="clear" w:color="auto" w:fill="auto"/>
          </w:tcPr>
          <w:p w:rsidR="00950038" w:rsidRPr="00D756F3" w:rsidRDefault="00CA61F3" w:rsidP="00BB01ED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</w:t>
            </w:r>
            <w:r w:rsidR="00BB0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7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приватизированы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объектов муниципального имущества на сумму 1</w:t>
            </w:r>
            <w:r w:rsidR="00C0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0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B0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FE2B09" w:rsidRPr="00D756F3" w:rsidTr="00743C1F">
        <w:tc>
          <w:tcPr>
            <w:tcW w:w="699" w:type="dxa"/>
            <w:shd w:val="clear" w:color="auto" w:fill="auto"/>
          </w:tcPr>
          <w:p w:rsidR="00FE2B09" w:rsidRDefault="00FE2B09" w:rsidP="00FE2B09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3974" w:type="dxa"/>
            <w:shd w:val="clear" w:color="auto" w:fill="auto"/>
          </w:tcPr>
          <w:p w:rsidR="00FE2B09" w:rsidRDefault="00FE2B09" w:rsidP="00FE2B09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дополнительных офисов финансовых организаций в сельской местности</w:t>
            </w:r>
          </w:p>
        </w:tc>
        <w:tc>
          <w:tcPr>
            <w:tcW w:w="5103" w:type="dxa"/>
            <w:shd w:val="clear" w:color="auto" w:fill="auto"/>
          </w:tcPr>
          <w:p w:rsidR="00FE2B09" w:rsidRPr="00FD360C" w:rsidRDefault="00FE2B09" w:rsidP="00FE2B09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имеющие представительства в с. Янтиково: ПАО «Сбербанк», АО «</w:t>
            </w:r>
            <w:proofErr w:type="spellStart"/>
            <w:r w:rsidRPr="00FD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Россельхозбанк</w:t>
            </w:r>
            <w:proofErr w:type="spellEnd"/>
            <w:r w:rsidRPr="00FD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АО «Почта банк»</w:t>
            </w:r>
          </w:p>
        </w:tc>
      </w:tr>
      <w:tr w:rsidR="00FE2B09" w:rsidRPr="00D756F3" w:rsidTr="00743C1F">
        <w:tc>
          <w:tcPr>
            <w:tcW w:w="699" w:type="dxa"/>
            <w:shd w:val="clear" w:color="auto" w:fill="auto"/>
          </w:tcPr>
          <w:p w:rsidR="00FE2B09" w:rsidRDefault="00FE2B09" w:rsidP="00FE2B09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</w:t>
            </w:r>
          </w:p>
        </w:tc>
        <w:tc>
          <w:tcPr>
            <w:tcW w:w="3974" w:type="dxa"/>
            <w:shd w:val="clear" w:color="auto" w:fill="auto"/>
          </w:tcPr>
          <w:p w:rsidR="00FE2B09" w:rsidRDefault="00FE2B09" w:rsidP="00FE2B09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лучших региональных практик содействия развитию конкуренции и практик содействия развитию конкуренции, рекомендованных для внедрения на территории субъектов Российской Федерации</w:t>
            </w:r>
          </w:p>
        </w:tc>
        <w:tc>
          <w:tcPr>
            <w:tcW w:w="5103" w:type="dxa"/>
            <w:shd w:val="clear" w:color="auto" w:fill="auto"/>
          </w:tcPr>
          <w:p w:rsidR="00FE2B09" w:rsidRPr="00FD360C" w:rsidRDefault="00FE2B09" w:rsidP="00FE2B09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муниципальных объектов недвижимого имущества, используемых в социальной сфере, размещен на официальном сайте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</w:tr>
    </w:tbl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2"/>
        <w:gridCol w:w="123"/>
        <w:gridCol w:w="3409"/>
        <w:gridCol w:w="5528"/>
      </w:tblGrid>
      <w:tr w:rsidR="00AA1A27" w:rsidRPr="00D14601" w:rsidTr="00743C1F">
        <w:tc>
          <w:tcPr>
            <w:tcW w:w="9776" w:type="dxa"/>
            <w:gridSpan w:val="5"/>
          </w:tcPr>
          <w:p w:rsidR="00AA1A27" w:rsidRPr="00D14601" w:rsidRDefault="00AA1A27" w:rsidP="00CF6B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3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 мероприятий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 карты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3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содействию развитию конкуренции на товарных рынках Чувашской Республики</w:t>
            </w:r>
          </w:p>
        </w:tc>
      </w:tr>
      <w:tr w:rsidR="00AA1A27" w:rsidRPr="00D14601" w:rsidTr="00743C1F">
        <w:tc>
          <w:tcPr>
            <w:tcW w:w="9776" w:type="dxa"/>
            <w:gridSpan w:val="5"/>
          </w:tcPr>
          <w:p w:rsidR="00AA1A27" w:rsidRPr="00AA1A27" w:rsidRDefault="008734A7" w:rsidP="00C143D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9. </w:t>
            </w:r>
            <w:r w:rsidR="00AA1A27" w:rsidRPr="00AA1A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Рынок социальных услуг</w:t>
            </w:r>
          </w:p>
        </w:tc>
      </w:tr>
      <w:tr w:rsidR="007B466E" w:rsidRPr="00D14601" w:rsidTr="00743C1F">
        <w:tc>
          <w:tcPr>
            <w:tcW w:w="839" w:type="dxa"/>
            <w:gridSpan w:val="3"/>
          </w:tcPr>
          <w:p w:rsidR="00AA1A27" w:rsidRPr="00D14601" w:rsidRDefault="00FC6677" w:rsidP="00AA1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409" w:type="dxa"/>
          </w:tcPr>
          <w:p w:rsidR="00AA1A27" w:rsidRPr="00651E67" w:rsidRDefault="00AA1A27" w:rsidP="00651E67">
            <w:pPr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анализа целевого использования государственных и муниципальных объектов недвижимого имущества в целях выявления неиспользуемого имущества и его передачи негосударственным (немуниципальным) организациям с применением механизмов государственно-частного партнерства и </w:t>
            </w:r>
            <w:proofErr w:type="spellStart"/>
            <w:r w:rsidRPr="0065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65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</w:t>
            </w:r>
          </w:p>
        </w:tc>
        <w:tc>
          <w:tcPr>
            <w:tcW w:w="5528" w:type="dxa"/>
          </w:tcPr>
          <w:p w:rsidR="00AA1A27" w:rsidRPr="00D14601" w:rsidRDefault="00B45139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муниципального имущества в целях выявления неиспользуемого имущества проведен. На настоящее время выявленные объекты негосударственным организациям с применением механизмов муниципального-частного партнерства не переданы.</w:t>
            </w:r>
          </w:p>
        </w:tc>
      </w:tr>
      <w:tr w:rsidR="005E5676" w:rsidRPr="00D14601" w:rsidTr="00743C1F">
        <w:tc>
          <w:tcPr>
            <w:tcW w:w="9776" w:type="dxa"/>
            <w:gridSpan w:val="5"/>
          </w:tcPr>
          <w:p w:rsidR="005E5676" w:rsidRPr="005E5676" w:rsidRDefault="008734A7" w:rsidP="004C058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10. </w:t>
            </w:r>
            <w:r w:rsidR="005E5676" w:rsidRPr="005E5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Рынок ритуальных услуг </w:t>
            </w:r>
          </w:p>
        </w:tc>
      </w:tr>
      <w:tr w:rsidR="007B466E" w:rsidRPr="00D14601" w:rsidTr="00743C1F">
        <w:tc>
          <w:tcPr>
            <w:tcW w:w="839" w:type="dxa"/>
            <w:gridSpan w:val="3"/>
          </w:tcPr>
          <w:p w:rsidR="00E43CE8" w:rsidRPr="00D14601" w:rsidRDefault="00E43CE8" w:rsidP="00E43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409" w:type="dxa"/>
          </w:tcPr>
          <w:p w:rsidR="00E43CE8" w:rsidRDefault="00E43CE8" w:rsidP="00E43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мониторинга состояния конкуренции на рынке ритуальных услуг, мониторинга ценовой конкуренции и качества предоставляемых услуг</w:t>
            </w:r>
          </w:p>
          <w:p w:rsidR="00E43CE8" w:rsidRDefault="00E43CE8" w:rsidP="00E43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43CE8" w:rsidRPr="006B0E1B" w:rsidRDefault="00E43CE8" w:rsidP="00E43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экономики ежегодно проводит </w:t>
            </w:r>
            <w:r w:rsidR="006B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ценовой конкуренции </w:t>
            </w:r>
            <w:r w:rsidRPr="006B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рынке ритуальных услуг и </w:t>
            </w:r>
            <w:r w:rsidRPr="006B0E1B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предоставляемых услуг. </w:t>
            </w:r>
          </w:p>
          <w:p w:rsidR="00E43CE8" w:rsidRPr="00FD360C" w:rsidRDefault="00E43CE8" w:rsidP="00D44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E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админис</w:t>
            </w:r>
            <w:r w:rsidR="00465E2B" w:rsidRPr="006B0E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трации Янтиковского </w:t>
            </w:r>
            <w:r w:rsidR="00D44B0C" w:rsidRPr="006B0E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округа от 29</w:t>
            </w:r>
            <w:r w:rsidRPr="006B0E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.01.202</w:t>
            </w:r>
            <w:r w:rsidR="00D44B0C" w:rsidRPr="006B0E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№ 86</w:t>
            </w:r>
            <w:r w:rsidRPr="006B0E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D44B0C" w:rsidRPr="006B0E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установлении стоимости услуг, предоставляемых согласно гарантированному перечню услуг по погребению на период с 1 февраля 2024 года по 31 января 2025 года</w:t>
            </w:r>
            <w:r w:rsidRPr="006B0E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B466E" w:rsidRPr="00D14601" w:rsidTr="00743C1F">
        <w:tc>
          <w:tcPr>
            <w:tcW w:w="839" w:type="dxa"/>
            <w:gridSpan w:val="3"/>
          </w:tcPr>
          <w:p w:rsidR="00E43CE8" w:rsidRDefault="00E43CE8" w:rsidP="00E43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409" w:type="dxa"/>
          </w:tcPr>
          <w:p w:rsidR="00E43CE8" w:rsidRPr="005E5676" w:rsidRDefault="00E43CE8" w:rsidP="00E43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реестра участников рынка ритуальных услуг с указанием видов и стоимости ритуальных услуг и его размещение на официальных сайтах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 в сети «Интернет»</w:t>
            </w:r>
          </w:p>
          <w:p w:rsidR="00E43CE8" w:rsidRDefault="00E43CE8" w:rsidP="00E43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D1444" w:rsidRPr="00FC5EE7" w:rsidRDefault="00941DFC" w:rsidP="00AF3D8D">
            <w:pPr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https://yantik.cap.ru/action/activity/market/ritualjnie-uslugi</w:t>
            </w:r>
          </w:p>
        </w:tc>
      </w:tr>
      <w:tr w:rsidR="007B466E" w:rsidRPr="00D14601" w:rsidTr="00743C1F">
        <w:tc>
          <w:tcPr>
            <w:tcW w:w="839" w:type="dxa"/>
            <w:gridSpan w:val="3"/>
          </w:tcPr>
          <w:p w:rsidR="00E43CE8" w:rsidRDefault="00E43CE8" w:rsidP="00E43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409" w:type="dxa"/>
          </w:tcPr>
          <w:p w:rsidR="00E43CE8" w:rsidRDefault="00E43CE8" w:rsidP="00E43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муниципальных правовых актов в сфере предоставления ритуальных услуг с целью выявления административных и экономических барьеров</w:t>
            </w:r>
          </w:p>
          <w:p w:rsidR="00E43CE8" w:rsidRDefault="00E43CE8" w:rsidP="00E43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43CE8" w:rsidRPr="00D14601" w:rsidRDefault="005749E8" w:rsidP="00E43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B466E" w:rsidRPr="00D14601" w:rsidTr="00743C1F">
        <w:tc>
          <w:tcPr>
            <w:tcW w:w="839" w:type="dxa"/>
            <w:gridSpan w:val="3"/>
          </w:tcPr>
          <w:p w:rsidR="00E43CE8" w:rsidRDefault="00E43CE8" w:rsidP="00E43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409" w:type="dxa"/>
          </w:tcPr>
          <w:p w:rsidR="00E43CE8" w:rsidRPr="005E5676" w:rsidRDefault="00E43CE8" w:rsidP="00E43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муниципальные программы мероприятий по реорганизации муниципальных унитарных предприятий</w:t>
            </w:r>
          </w:p>
          <w:p w:rsidR="00E43CE8" w:rsidRDefault="00E43CE8" w:rsidP="00E43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310E4" w:rsidRPr="00FD360C" w:rsidRDefault="009310E4" w:rsidP="009310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организаций в сфере ритуальных услуг нет.</w:t>
            </w:r>
          </w:p>
          <w:p w:rsidR="00E43CE8" w:rsidRPr="00D14601" w:rsidRDefault="00E43CE8" w:rsidP="00E43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CE8" w:rsidRPr="00D14601" w:rsidTr="00743C1F">
        <w:tc>
          <w:tcPr>
            <w:tcW w:w="9776" w:type="dxa"/>
            <w:gridSpan w:val="5"/>
          </w:tcPr>
          <w:p w:rsidR="00E43CE8" w:rsidRPr="00006B12" w:rsidRDefault="00E43CE8" w:rsidP="00E43CE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6B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13. 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7B466E" w:rsidRPr="00D14601" w:rsidTr="00743C1F">
        <w:tc>
          <w:tcPr>
            <w:tcW w:w="839" w:type="dxa"/>
            <w:gridSpan w:val="3"/>
          </w:tcPr>
          <w:p w:rsidR="00E43CE8" w:rsidRPr="00D14601" w:rsidRDefault="00E43CE8" w:rsidP="00E4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409" w:type="dxa"/>
          </w:tcPr>
          <w:p w:rsidR="00E43CE8" w:rsidRPr="00AA1A27" w:rsidRDefault="00E43CE8" w:rsidP="00E43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 муниципальных унитарных предприятий на сетевом рынке электрической энергии</w:t>
            </w:r>
          </w:p>
        </w:tc>
        <w:tc>
          <w:tcPr>
            <w:tcW w:w="5528" w:type="dxa"/>
          </w:tcPr>
          <w:p w:rsidR="00E43CE8" w:rsidRPr="00D14601" w:rsidRDefault="009310E4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Янтиковского </w:t>
            </w:r>
            <w:r w:rsidR="0094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FD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МУП, функционирующих на рынке электрической энергии, не имеется.</w:t>
            </w:r>
          </w:p>
        </w:tc>
      </w:tr>
      <w:tr w:rsidR="00E43CE8" w:rsidRPr="00D14601" w:rsidTr="00743C1F">
        <w:tc>
          <w:tcPr>
            <w:tcW w:w="9776" w:type="dxa"/>
            <w:gridSpan w:val="5"/>
          </w:tcPr>
          <w:p w:rsidR="00E43CE8" w:rsidRPr="00D14601" w:rsidRDefault="00E43CE8" w:rsidP="00E43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7B466E" w:rsidRPr="00D14601" w:rsidTr="00743C1F">
        <w:tc>
          <w:tcPr>
            <w:tcW w:w="839" w:type="dxa"/>
            <w:gridSpan w:val="3"/>
          </w:tcPr>
          <w:p w:rsidR="009310E4" w:rsidRPr="00D14601" w:rsidRDefault="009310E4" w:rsidP="00931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409" w:type="dxa"/>
          </w:tcPr>
          <w:p w:rsidR="009310E4" w:rsidRPr="00AA1A27" w:rsidRDefault="009310E4" w:rsidP="009310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количества муниципальных маршрутов регулярных перевозок и муниципальных перевозчиков</w:t>
            </w:r>
          </w:p>
        </w:tc>
        <w:tc>
          <w:tcPr>
            <w:tcW w:w="5528" w:type="dxa"/>
          </w:tcPr>
          <w:p w:rsidR="009310E4" w:rsidRPr="00FD360C" w:rsidRDefault="009310E4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0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Янтиковского </w:t>
            </w:r>
            <w:r w:rsidR="00941DF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D360C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перевозка пассажиров по муниципальным маршрутам регулярных перевозок не осуществляется</w:t>
            </w:r>
          </w:p>
        </w:tc>
      </w:tr>
      <w:tr w:rsidR="002C2677" w:rsidRPr="00D14601" w:rsidTr="00743C1F">
        <w:tc>
          <w:tcPr>
            <w:tcW w:w="839" w:type="dxa"/>
            <w:gridSpan w:val="3"/>
          </w:tcPr>
          <w:p w:rsidR="009310E4" w:rsidRDefault="009310E4" w:rsidP="00931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409" w:type="dxa"/>
          </w:tcPr>
          <w:p w:rsidR="009310E4" w:rsidRPr="00FC6677" w:rsidRDefault="009310E4" w:rsidP="009310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критериях конкурсного отбора перевозчиков на официальных сайтах администраций муниципальных районов, муниципальных округов и городских округов в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28" w:type="dxa"/>
          </w:tcPr>
          <w:p w:rsidR="009310E4" w:rsidRPr="00FD360C" w:rsidRDefault="009310E4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0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Янтиковского </w:t>
            </w:r>
            <w:r w:rsidR="00941DF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D360C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перевозка пассажиров по муниципальным маршрутам регулярных перевозок не осуществляется</w:t>
            </w:r>
          </w:p>
        </w:tc>
      </w:tr>
      <w:tr w:rsidR="002C2677" w:rsidRPr="00D14601" w:rsidTr="00743C1F">
        <w:tc>
          <w:tcPr>
            <w:tcW w:w="839" w:type="dxa"/>
            <w:gridSpan w:val="3"/>
          </w:tcPr>
          <w:p w:rsidR="009310E4" w:rsidRPr="00D14601" w:rsidRDefault="009310E4" w:rsidP="00931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409" w:type="dxa"/>
          </w:tcPr>
          <w:p w:rsidR="009310E4" w:rsidRPr="00AA1A27" w:rsidRDefault="009310E4" w:rsidP="009310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документа планирования регулярных перевозок по муниципальным маршрутам регулярных перевозок или внесение изменений в документ планирования по результатам анализа ситуации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528" w:type="dxa"/>
          </w:tcPr>
          <w:p w:rsidR="009310E4" w:rsidRPr="00FD360C" w:rsidRDefault="009310E4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0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Янтиковского </w:t>
            </w:r>
            <w:r w:rsidR="00941DF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D360C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перевозка пассажиров по муниципальным маршрутам регулярных перевозок не осуществляется</w:t>
            </w:r>
          </w:p>
        </w:tc>
      </w:tr>
      <w:tr w:rsidR="009310E4" w:rsidRPr="00D14601" w:rsidTr="00743C1F">
        <w:tc>
          <w:tcPr>
            <w:tcW w:w="9776" w:type="dxa"/>
            <w:gridSpan w:val="5"/>
          </w:tcPr>
          <w:p w:rsidR="009310E4" w:rsidRPr="00006B12" w:rsidRDefault="009310E4" w:rsidP="009310E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6B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18. Рынок услуг связи и информационных технологий,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2C2677" w:rsidRPr="00D14601" w:rsidTr="00743C1F">
        <w:tc>
          <w:tcPr>
            <w:tcW w:w="716" w:type="dxa"/>
            <w:gridSpan w:val="2"/>
          </w:tcPr>
          <w:p w:rsidR="009310E4" w:rsidRPr="00D14601" w:rsidRDefault="009310E4" w:rsidP="00931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3532" w:type="dxa"/>
            <w:gridSpan w:val="2"/>
          </w:tcPr>
          <w:p w:rsidR="009310E4" w:rsidRPr="00AA1A27" w:rsidRDefault="009310E4" w:rsidP="009310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перечня объектов государственной и муниципальной собственности для размещения объектов, сооружений и средств связи</w:t>
            </w:r>
          </w:p>
        </w:tc>
        <w:tc>
          <w:tcPr>
            <w:tcW w:w="5528" w:type="dxa"/>
          </w:tcPr>
          <w:p w:rsidR="009310E4" w:rsidRPr="00D14601" w:rsidRDefault="002C2677" w:rsidP="002C2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10E4" w:rsidRPr="00D14601" w:rsidTr="00743C1F">
        <w:tc>
          <w:tcPr>
            <w:tcW w:w="9776" w:type="dxa"/>
            <w:gridSpan w:val="5"/>
          </w:tcPr>
          <w:p w:rsidR="009310E4" w:rsidRPr="00006B12" w:rsidRDefault="009310E4" w:rsidP="009310E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6B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19. Рынок жилищного строительства</w:t>
            </w:r>
          </w:p>
        </w:tc>
      </w:tr>
      <w:tr w:rsidR="00F204F4" w:rsidRPr="00D14601" w:rsidTr="00743C1F">
        <w:tc>
          <w:tcPr>
            <w:tcW w:w="716" w:type="dxa"/>
            <w:gridSpan w:val="2"/>
          </w:tcPr>
          <w:p w:rsidR="009310E4" w:rsidRPr="00D14601" w:rsidRDefault="009310E4" w:rsidP="00931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9310E4" w:rsidRPr="00AA1A27" w:rsidRDefault="009310E4" w:rsidP="009310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сведений о градостроительной деятельности для застройщиков на официальных сайтах администраций муниципальных районов, муниципальных округов и городских округов, Министерства строительства, архитектуры и жилищно-коммунального хозяйства Чувашской Республики (далее - Минстрой Чувашии) на Портале органов власти Чувашской Республики в сети "Интернет"</w:t>
            </w:r>
          </w:p>
        </w:tc>
        <w:tc>
          <w:tcPr>
            <w:tcW w:w="5528" w:type="dxa"/>
          </w:tcPr>
          <w:p w:rsidR="00F204F4" w:rsidRPr="001A3471" w:rsidRDefault="00D46707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86DA9" w:rsidRPr="001A347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https://yantik.cap.ru/action/activity/construction/gradostroiteljnaya-deyateljnostj</w:t>
              </w:r>
            </w:hyperlink>
          </w:p>
          <w:p w:rsidR="00F86DA9" w:rsidRDefault="00F86DA9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DA9" w:rsidRDefault="00F86DA9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DA9" w:rsidRDefault="00F86DA9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DA9" w:rsidRDefault="00F86DA9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DA9" w:rsidRDefault="00F86DA9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DA9" w:rsidRDefault="00F86DA9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DA9" w:rsidRDefault="00F86DA9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DA9" w:rsidRDefault="00F86DA9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DA9" w:rsidRDefault="00F86DA9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DA9" w:rsidRDefault="00F86DA9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DA9" w:rsidRDefault="00F86DA9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DA9" w:rsidRDefault="00F86DA9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DA9" w:rsidRDefault="00F86DA9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DA9" w:rsidRDefault="00F86DA9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DA9" w:rsidRDefault="00F86DA9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DA9" w:rsidRDefault="00F86DA9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DA9" w:rsidRDefault="00F86DA9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DA9" w:rsidRPr="00D14601" w:rsidRDefault="00F86DA9" w:rsidP="00941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4F4" w:rsidRPr="00D14601" w:rsidTr="00743C1F">
        <w:tc>
          <w:tcPr>
            <w:tcW w:w="716" w:type="dxa"/>
            <w:gridSpan w:val="2"/>
          </w:tcPr>
          <w:p w:rsidR="009310E4" w:rsidRPr="00D14601" w:rsidRDefault="009310E4" w:rsidP="00931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9310E4" w:rsidRPr="00AA1A27" w:rsidRDefault="009310E4" w:rsidP="009310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аукционов на право аренды земельных участков в целях жилищного строительства, заключения договоров о развитии застроенных территорий, об освоении территории в целях строительства стандартного жилья, о комплексном освоении территории в целях строительства стандартного жилья</w:t>
            </w:r>
          </w:p>
        </w:tc>
        <w:tc>
          <w:tcPr>
            <w:tcW w:w="5528" w:type="dxa"/>
          </w:tcPr>
          <w:p w:rsidR="009310E4" w:rsidRPr="00D14601" w:rsidRDefault="00177714" w:rsidP="001A3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3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A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 аукцион</w:t>
            </w:r>
            <w:r w:rsidR="001A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право аренды земельного участка</w:t>
            </w:r>
            <w:r w:rsidR="009310E4" w:rsidRPr="0015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жилищного строительства, заключения договоров о развитии застроенных территорий, об освоении территории в целях строительства стандартного жилья, о комплексном освоении территории в целях строительства стандартного жилья</w:t>
            </w:r>
            <w:r w:rsidR="001A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было.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0E4" w:rsidRPr="00D14601" w:rsidTr="00743C1F">
        <w:tc>
          <w:tcPr>
            <w:tcW w:w="9776" w:type="dxa"/>
            <w:gridSpan w:val="5"/>
          </w:tcPr>
          <w:p w:rsidR="009310E4" w:rsidRPr="008734A7" w:rsidRDefault="009310E4" w:rsidP="009310E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4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F204F4" w:rsidRPr="00D14601" w:rsidTr="00743C1F">
        <w:tc>
          <w:tcPr>
            <w:tcW w:w="716" w:type="dxa"/>
            <w:gridSpan w:val="2"/>
          </w:tcPr>
          <w:p w:rsidR="009310E4" w:rsidRPr="00D14601" w:rsidRDefault="009310E4" w:rsidP="00931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3532" w:type="dxa"/>
            <w:gridSpan w:val="2"/>
          </w:tcPr>
          <w:p w:rsidR="009310E4" w:rsidRPr="00AA1A27" w:rsidRDefault="009310E4" w:rsidP="009310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опубликования и актуализации на Портале органов власти Чувашской Республики в сети "Интернет" административных регламентов предоставления государственных (муниципальных услуг)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5528" w:type="dxa"/>
          </w:tcPr>
          <w:p w:rsidR="00026CC3" w:rsidRPr="00D14601" w:rsidRDefault="002305A1" w:rsidP="0023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https://yantik.cap.ru/action/activity/administrativnaya-reforma/administrativnie-reglamenti-yantikovskogo-municipa</w:t>
            </w:r>
          </w:p>
        </w:tc>
      </w:tr>
      <w:tr w:rsidR="009310E4" w:rsidRPr="00D14601" w:rsidTr="00743C1F">
        <w:tc>
          <w:tcPr>
            <w:tcW w:w="9776" w:type="dxa"/>
            <w:gridSpan w:val="5"/>
          </w:tcPr>
          <w:p w:rsidR="009310E4" w:rsidRPr="008734A7" w:rsidRDefault="009310E4" w:rsidP="009310E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4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23. Рынок кадастровых и землеустроительных работ</w:t>
            </w:r>
          </w:p>
        </w:tc>
      </w:tr>
      <w:tr w:rsidR="00F204F4" w:rsidRPr="00D14601" w:rsidTr="00743C1F">
        <w:tc>
          <w:tcPr>
            <w:tcW w:w="704" w:type="dxa"/>
          </w:tcPr>
          <w:p w:rsidR="009310E4" w:rsidRPr="00D14601" w:rsidRDefault="009310E4" w:rsidP="00931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3544" w:type="dxa"/>
            <w:gridSpan w:val="3"/>
          </w:tcPr>
          <w:p w:rsidR="009310E4" w:rsidRPr="00AA1A27" w:rsidRDefault="009310E4" w:rsidP="009310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количества муниципальных унитарных предприятий, хозяйственных обществ, в уставном капитале которых имеется доля участия муниципального образования, выполняющих кадастровые и землеустроительные работы</w:t>
            </w:r>
          </w:p>
        </w:tc>
        <w:tc>
          <w:tcPr>
            <w:tcW w:w="5528" w:type="dxa"/>
          </w:tcPr>
          <w:p w:rsidR="001C28B6" w:rsidRDefault="00E87BED" w:rsidP="00F01B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Янт</w:t>
            </w:r>
            <w:r w:rsidR="0015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иковского </w:t>
            </w:r>
            <w:r w:rsidR="00C9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15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 1 МУП.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указанного МУП за 202</w:t>
            </w:r>
            <w:r w:rsidR="008C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D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Pr="00D8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r w:rsidR="0015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</w:t>
            </w:r>
            <w:r w:rsidRPr="00D8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8C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  <w:r w:rsidRPr="00D8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8C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2023</w:t>
            </w:r>
            <w:r w:rsidR="006457FF" w:rsidRPr="00D8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составляет</w:t>
            </w:r>
            <w:r w:rsidR="008C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1148</w:t>
            </w:r>
            <w:r w:rsidR="00D87873" w:rsidRPr="00D8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15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Приватизация МУП запланирована</w:t>
            </w:r>
            <w:r w:rsidR="007A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 год</w:t>
            </w:r>
            <w:r w:rsidR="00F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0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ешение Собрания депутатов Янтиковского муниципального округа </w:t>
            </w:r>
            <w:r w:rsidR="0030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 </w:t>
            </w:r>
            <w:r w:rsidR="00F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12.12.2023 № 19/4 «</w:t>
            </w:r>
            <w:r w:rsidR="00F01B54" w:rsidRPr="00F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Прогнозном плане (программе) приватизации муниципального имущества Янтиковского муниципального округа на 2024 год</w:t>
            </w:r>
            <w:r w:rsidR="00F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C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2296" w:rsidRDefault="00B02296" w:rsidP="00F01B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Янтиковского муниципального округа от 19.01.2024 № 56 «</w:t>
            </w:r>
            <w:r w:rsidRPr="00B0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реорганизации муниципального унитарного предприятия «Дирекция единого заказчика» Янтиковского муниципального округа Чувашской Республики путем преобразования в общество с ограниченной ответственностью «БТИ Янтиковского района»</w:t>
            </w:r>
          </w:p>
          <w:p w:rsidR="009310E4" w:rsidRPr="00D14601" w:rsidRDefault="001C28B6" w:rsidP="001C2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Янтиковского муниципального округа от</w:t>
            </w:r>
            <w:r w:rsidR="00B0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19.01.2024 № 57 «</w:t>
            </w:r>
            <w:r w:rsidRPr="001C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мероприятий («дорожной карты») по преобразованию муниципального унитарного предприятия (МУП) в общество с ограниченной ответственностью (ООО)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9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457FF" w:rsidRPr="00D8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04F4" w:rsidRPr="00D14601" w:rsidTr="00743C1F">
        <w:tc>
          <w:tcPr>
            <w:tcW w:w="704" w:type="dxa"/>
          </w:tcPr>
          <w:p w:rsidR="009310E4" w:rsidRPr="00D14601" w:rsidRDefault="009310E4" w:rsidP="00931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3544" w:type="dxa"/>
            <w:gridSpan w:val="3"/>
          </w:tcPr>
          <w:p w:rsidR="009310E4" w:rsidRPr="00AA1A27" w:rsidRDefault="009310E4" w:rsidP="009310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выявлению правообладателей ранее не учтенных объектов недвижимого имущества и вовлечение их в налоговый оборот</w:t>
            </w:r>
          </w:p>
        </w:tc>
        <w:tc>
          <w:tcPr>
            <w:tcW w:w="5528" w:type="dxa"/>
          </w:tcPr>
          <w:p w:rsidR="009310E4" w:rsidRPr="00D14601" w:rsidRDefault="0087229E" w:rsidP="00F11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году выявлены правообладатели 225 объектов недвижимости и вовлечены в налоговый оборот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11509">
              <w:t xml:space="preserve"> в</w:t>
            </w:r>
            <w:r w:rsidR="00F11509" w:rsidRPr="00F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1509" w:rsidRPr="00F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выявлены правообладатели </w:t>
            </w:r>
            <w:r w:rsidR="00F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="00F11509" w:rsidRPr="00F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недвижимости и вовлечены в налоговый оборот</w:t>
            </w:r>
            <w:r w:rsidR="00B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675"/>
        <w:gridCol w:w="3573"/>
        <w:gridCol w:w="5528"/>
      </w:tblGrid>
      <w:tr w:rsidR="00AE4D24" w:rsidRPr="00D14601" w:rsidTr="00743C1F">
        <w:tc>
          <w:tcPr>
            <w:tcW w:w="9776" w:type="dxa"/>
            <w:gridSpan w:val="3"/>
          </w:tcPr>
          <w:p w:rsidR="00AE4D24" w:rsidRPr="00AE4D24" w:rsidRDefault="00AE4D24" w:rsidP="00C143D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E4D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35. Рынок наружной рекламы</w:t>
            </w:r>
          </w:p>
        </w:tc>
      </w:tr>
      <w:tr w:rsidR="00AE4D24" w:rsidRPr="00D14601" w:rsidTr="00743C1F">
        <w:tc>
          <w:tcPr>
            <w:tcW w:w="675" w:type="dxa"/>
          </w:tcPr>
          <w:p w:rsidR="00AE4D24" w:rsidRPr="00D14601" w:rsidRDefault="00AE4D24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</w:t>
            </w:r>
          </w:p>
        </w:tc>
        <w:tc>
          <w:tcPr>
            <w:tcW w:w="3573" w:type="dxa"/>
          </w:tcPr>
          <w:p w:rsidR="00AE4D24" w:rsidRDefault="00AE4D24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рекламоносителей</w:t>
            </w:r>
            <w:proofErr w:type="spellEnd"/>
          </w:p>
          <w:p w:rsidR="00AE4D24" w:rsidRDefault="00AE4D24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E4D24" w:rsidRPr="00D14601" w:rsidRDefault="004C65C9" w:rsidP="00AE4D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Незаконные рекламные конструкции не выявлялись</w:t>
            </w:r>
          </w:p>
        </w:tc>
      </w:tr>
      <w:tr w:rsidR="00AE4D24" w:rsidRPr="00D14601" w:rsidTr="00743C1F">
        <w:tc>
          <w:tcPr>
            <w:tcW w:w="675" w:type="dxa"/>
          </w:tcPr>
          <w:p w:rsidR="00AE4D24" w:rsidRDefault="00AE4D24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</w:t>
            </w:r>
          </w:p>
        </w:tc>
        <w:tc>
          <w:tcPr>
            <w:tcW w:w="3573" w:type="dxa"/>
          </w:tcPr>
          <w:p w:rsidR="00AE4D24" w:rsidRDefault="00AE4D24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схем размещения рекламных конструкций</w:t>
            </w:r>
          </w:p>
          <w:p w:rsidR="00AE4D24" w:rsidRDefault="00AE4D24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751F" w:rsidRPr="00FD360C" w:rsidRDefault="00CF751F" w:rsidP="00CF751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Административный регламент администрации Янтиковского </w:t>
            </w:r>
            <w:r w:rsidR="002F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округа</w:t>
            </w:r>
            <w:r w:rsidRPr="00FD36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Чувашской Республики по пред</w:t>
            </w:r>
            <w:r w:rsidR="002F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оставлению муниципальной услуги </w:t>
            </w:r>
            <w:r w:rsidR="002F3848" w:rsidRPr="002F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«Выдача разрешения на установку и эксплуатацию рекламных конструкций на территории Янтиковского муниципального округа Чувашской Республики, аннулирование такого разрешения»</w:t>
            </w:r>
            <w:r w:rsidR="002F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</w:t>
            </w:r>
            <w:r w:rsidRPr="00FD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D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остановлением </w:t>
            </w:r>
            <w:r w:rsidR="002F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Янтиковского муниципального округа</w:t>
            </w:r>
            <w:r w:rsidRPr="00FD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</w:t>
            </w:r>
            <w:r w:rsidR="002F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  <w:r w:rsidRPr="00FD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F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D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F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  <w:p w:rsidR="00AE4D24" w:rsidRPr="00D14601" w:rsidRDefault="00AE4D24" w:rsidP="00C14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D24" w:rsidRPr="00D14601" w:rsidTr="00743C1F">
        <w:tc>
          <w:tcPr>
            <w:tcW w:w="675" w:type="dxa"/>
          </w:tcPr>
          <w:p w:rsidR="00AE4D24" w:rsidRDefault="00AE4D24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35.4</w:t>
            </w:r>
          </w:p>
        </w:tc>
        <w:tc>
          <w:tcPr>
            <w:tcW w:w="3573" w:type="dxa"/>
          </w:tcPr>
          <w:p w:rsidR="00AE4D24" w:rsidRDefault="00AE4D24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открытости и прозрачности при проведении торгов на право заключения договора на установку и эксплуатацию рекламных конструкций, проведение торгов в электронном виде</w:t>
            </w:r>
          </w:p>
          <w:p w:rsidR="00AE4D24" w:rsidRDefault="00AE4D24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E4D24" w:rsidRPr="00D14601" w:rsidRDefault="008D0988" w:rsidP="008D0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</w:t>
            </w:r>
            <w:r w:rsidR="004C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C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договора </w:t>
            </w:r>
            <w:r w:rsidR="004C65C9">
              <w:rPr>
                <w:rFonts w:ascii="Times New Roman" w:hAnsi="Times New Roman" w:cs="Times New Roman"/>
                <w:sz w:val="24"/>
                <w:szCs w:val="24"/>
              </w:rPr>
              <w:t>на установку и эксплуатацию рекламных конструкций не заключались.</w:t>
            </w:r>
          </w:p>
        </w:tc>
      </w:tr>
    </w:tbl>
    <w:p w:rsidR="005E5676" w:rsidRDefault="005E5676" w:rsidP="005E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676" w:rsidRDefault="005E5676" w:rsidP="005E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676" w:rsidRDefault="005E567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676" w:rsidRPr="00006B12" w:rsidRDefault="00905498" w:rsidP="000C1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="00006B12" w:rsidRPr="00006B12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Pr="0000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организаций и ИП на рынке ритуальных услуг</w:t>
      </w:r>
    </w:p>
    <w:p w:rsidR="005E5676" w:rsidRDefault="005E5676" w:rsidP="005E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622"/>
        <w:gridCol w:w="3739"/>
        <w:gridCol w:w="2551"/>
        <w:gridCol w:w="2835"/>
      </w:tblGrid>
      <w:tr w:rsidR="005E5676" w:rsidRPr="002C71AB" w:rsidTr="00C143DF">
        <w:trPr>
          <w:trHeight w:val="920"/>
        </w:trPr>
        <w:tc>
          <w:tcPr>
            <w:tcW w:w="622" w:type="dxa"/>
          </w:tcPr>
          <w:p w:rsidR="005E5676" w:rsidRPr="002C71AB" w:rsidRDefault="005E5676" w:rsidP="00C14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5676" w:rsidRPr="002C71AB" w:rsidRDefault="005E5676" w:rsidP="00C14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39" w:type="dxa"/>
          </w:tcPr>
          <w:p w:rsidR="005E5676" w:rsidRPr="002C71AB" w:rsidRDefault="005E5676" w:rsidP="00C14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Наименование ИП, организации, предоставляющей услуги</w:t>
            </w:r>
          </w:p>
        </w:tc>
        <w:tc>
          <w:tcPr>
            <w:tcW w:w="2551" w:type="dxa"/>
          </w:tcPr>
          <w:p w:rsidR="005E5676" w:rsidRPr="002C71AB" w:rsidRDefault="005E5676" w:rsidP="00C1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835" w:type="dxa"/>
          </w:tcPr>
          <w:p w:rsidR="005E5676" w:rsidRPr="002C71AB" w:rsidRDefault="005E5676" w:rsidP="00C1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Адрес расположения</w:t>
            </w:r>
          </w:p>
        </w:tc>
      </w:tr>
      <w:tr w:rsidR="005E5676" w:rsidRPr="002C71AB" w:rsidTr="00C143DF">
        <w:tc>
          <w:tcPr>
            <w:tcW w:w="9747" w:type="dxa"/>
            <w:gridSpan w:val="4"/>
          </w:tcPr>
          <w:p w:rsidR="005E5676" w:rsidRPr="002C71AB" w:rsidRDefault="009736E6" w:rsidP="00CF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Янтиковский муниципальный округ</w:t>
            </w:r>
          </w:p>
        </w:tc>
      </w:tr>
      <w:tr w:rsidR="00CF751F" w:rsidRPr="002C71AB" w:rsidTr="000E5DF8">
        <w:trPr>
          <w:trHeight w:val="679"/>
        </w:trPr>
        <w:tc>
          <w:tcPr>
            <w:tcW w:w="622" w:type="dxa"/>
          </w:tcPr>
          <w:p w:rsidR="00CF751F" w:rsidRPr="002C71AB" w:rsidRDefault="00CF751F" w:rsidP="00CF7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9" w:type="dxa"/>
          </w:tcPr>
          <w:p w:rsidR="00CF751F" w:rsidRPr="00EA7F96" w:rsidRDefault="00CF751F" w:rsidP="00CF7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«Обряд»</w:t>
            </w:r>
          </w:p>
        </w:tc>
        <w:tc>
          <w:tcPr>
            <w:tcW w:w="2551" w:type="dxa"/>
          </w:tcPr>
          <w:p w:rsidR="00CF751F" w:rsidRPr="00EA7F96" w:rsidRDefault="00CF751F" w:rsidP="00CF7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2128704043</w:t>
            </w:r>
          </w:p>
        </w:tc>
        <w:tc>
          <w:tcPr>
            <w:tcW w:w="2835" w:type="dxa"/>
          </w:tcPr>
          <w:p w:rsidR="00CF751F" w:rsidRPr="00EA7F96" w:rsidRDefault="00CF751F" w:rsidP="00CF7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Ян</w:t>
            </w:r>
            <w:r w:rsidR="00D4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тиково, ул. Константина Иванова</w:t>
            </w:r>
            <w:bookmarkStart w:id="0" w:name="_GoBack"/>
            <w:bookmarkEnd w:id="0"/>
            <w:r w:rsidRPr="00EA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751F" w:rsidRPr="002C71AB" w:rsidTr="00C143DF">
        <w:tc>
          <w:tcPr>
            <w:tcW w:w="622" w:type="dxa"/>
          </w:tcPr>
          <w:p w:rsidR="00CF751F" w:rsidRPr="002C71AB" w:rsidRDefault="00CF751F" w:rsidP="00CF7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9" w:type="dxa"/>
          </w:tcPr>
          <w:p w:rsidR="00CF751F" w:rsidRPr="00EA7F96" w:rsidRDefault="00CF751F" w:rsidP="00CF7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Федорова Н.В.</w:t>
            </w:r>
          </w:p>
        </w:tc>
        <w:tc>
          <w:tcPr>
            <w:tcW w:w="2551" w:type="dxa"/>
          </w:tcPr>
          <w:p w:rsidR="00CF751F" w:rsidRPr="00EA7F96" w:rsidRDefault="000E5DF8" w:rsidP="00CF7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2121006</w:t>
            </w:r>
            <w:r w:rsidR="00CF751F" w:rsidRPr="00EA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09708</w:t>
            </w:r>
          </w:p>
        </w:tc>
        <w:tc>
          <w:tcPr>
            <w:tcW w:w="2835" w:type="dxa"/>
          </w:tcPr>
          <w:p w:rsidR="00CF751F" w:rsidRPr="00EA7F96" w:rsidRDefault="002C0E8E" w:rsidP="00CF7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Янтиково, пр. Ленина, д. 15</w:t>
            </w:r>
          </w:p>
        </w:tc>
      </w:tr>
    </w:tbl>
    <w:p w:rsidR="005E5676" w:rsidRDefault="005E5676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E5676" w:rsidRDefault="005E5676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E5676" w:rsidRDefault="005E5676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E5676" w:rsidRDefault="005E5676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751F" w:rsidRDefault="00CF751F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751F" w:rsidRDefault="00CF751F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751F" w:rsidRDefault="00CF751F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751F" w:rsidRDefault="00CF751F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751F" w:rsidRDefault="00CF751F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751F" w:rsidRDefault="00CF751F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CF751F" w:rsidSect="00743C1F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C3468"/>
    <w:multiLevelType w:val="multilevel"/>
    <w:tmpl w:val="94BA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311AB"/>
    <w:multiLevelType w:val="hybridMultilevel"/>
    <w:tmpl w:val="5E0AFD30"/>
    <w:lvl w:ilvl="0" w:tplc="75F494B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711DBB"/>
    <w:multiLevelType w:val="hybridMultilevel"/>
    <w:tmpl w:val="15D29DFE"/>
    <w:lvl w:ilvl="0" w:tplc="F8441580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28"/>
    <w:rsid w:val="00006B12"/>
    <w:rsid w:val="0000780E"/>
    <w:rsid w:val="000106DA"/>
    <w:rsid w:val="00017C02"/>
    <w:rsid w:val="00026CC3"/>
    <w:rsid w:val="00026E91"/>
    <w:rsid w:val="00027205"/>
    <w:rsid w:val="00042C01"/>
    <w:rsid w:val="000730EB"/>
    <w:rsid w:val="00081CA8"/>
    <w:rsid w:val="000948C3"/>
    <w:rsid w:val="000B5E76"/>
    <w:rsid w:val="000C19D6"/>
    <w:rsid w:val="000E5DF8"/>
    <w:rsid w:val="00101B37"/>
    <w:rsid w:val="0011253C"/>
    <w:rsid w:val="0011435E"/>
    <w:rsid w:val="00147F25"/>
    <w:rsid w:val="00154EB5"/>
    <w:rsid w:val="00155AEB"/>
    <w:rsid w:val="00157EC8"/>
    <w:rsid w:val="00173F5C"/>
    <w:rsid w:val="00177714"/>
    <w:rsid w:val="00197D55"/>
    <w:rsid w:val="001A3471"/>
    <w:rsid w:val="001B2E95"/>
    <w:rsid w:val="001C0765"/>
    <w:rsid w:val="001C28B6"/>
    <w:rsid w:val="001C41A2"/>
    <w:rsid w:val="001C769B"/>
    <w:rsid w:val="001D2E66"/>
    <w:rsid w:val="001D7810"/>
    <w:rsid w:val="001E0A52"/>
    <w:rsid w:val="001E2B79"/>
    <w:rsid w:val="001E678F"/>
    <w:rsid w:val="001F08BA"/>
    <w:rsid w:val="00201604"/>
    <w:rsid w:val="002200A4"/>
    <w:rsid w:val="00222B8B"/>
    <w:rsid w:val="00223075"/>
    <w:rsid w:val="002305A1"/>
    <w:rsid w:val="002365F5"/>
    <w:rsid w:val="00256027"/>
    <w:rsid w:val="00264D51"/>
    <w:rsid w:val="002665A5"/>
    <w:rsid w:val="002669C0"/>
    <w:rsid w:val="00270EEE"/>
    <w:rsid w:val="00272DBB"/>
    <w:rsid w:val="0027375E"/>
    <w:rsid w:val="00273C2D"/>
    <w:rsid w:val="002B7C3C"/>
    <w:rsid w:val="002C09B4"/>
    <w:rsid w:val="002C0E8E"/>
    <w:rsid w:val="002C2677"/>
    <w:rsid w:val="002C44EF"/>
    <w:rsid w:val="002C71AB"/>
    <w:rsid w:val="002E5605"/>
    <w:rsid w:val="002F3848"/>
    <w:rsid w:val="00306A87"/>
    <w:rsid w:val="003144DB"/>
    <w:rsid w:val="00327330"/>
    <w:rsid w:val="003338BB"/>
    <w:rsid w:val="0034364F"/>
    <w:rsid w:val="00391680"/>
    <w:rsid w:val="00395921"/>
    <w:rsid w:val="00397B35"/>
    <w:rsid w:val="00397F93"/>
    <w:rsid w:val="003B098F"/>
    <w:rsid w:val="003D40FD"/>
    <w:rsid w:val="003D5676"/>
    <w:rsid w:val="0040731C"/>
    <w:rsid w:val="0041765D"/>
    <w:rsid w:val="00423FA0"/>
    <w:rsid w:val="00434AB2"/>
    <w:rsid w:val="0044592B"/>
    <w:rsid w:val="00446EA3"/>
    <w:rsid w:val="00456AAE"/>
    <w:rsid w:val="004639FD"/>
    <w:rsid w:val="00465E2B"/>
    <w:rsid w:val="00477256"/>
    <w:rsid w:val="004A3872"/>
    <w:rsid w:val="004B0931"/>
    <w:rsid w:val="004C0584"/>
    <w:rsid w:val="004C45B7"/>
    <w:rsid w:val="004C65C9"/>
    <w:rsid w:val="004E6E5A"/>
    <w:rsid w:val="004E75BC"/>
    <w:rsid w:val="004F3A89"/>
    <w:rsid w:val="005040B5"/>
    <w:rsid w:val="00504F3E"/>
    <w:rsid w:val="005057AC"/>
    <w:rsid w:val="00515AB1"/>
    <w:rsid w:val="005239CC"/>
    <w:rsid w:val="00524051"/>
    <w:rsid w:val="00526352"/>
    <w:rsid w:val="0055303A"/>
    <w:rsid w:val="00554BD5"/>
    <w:rsid w:val="005749E8"/>
    <w:rsid w:val="005A1DCC"/>
    <w:rsid w:val="005E5676"/>
    <w:rsid w:val="00600EF2"/>
    <w:rsid w:val="0060208D"/>
    <w:rsid w:val="00604491"/>
    <w:rsid w:val="006275C7"/>
    <w:rsid w:val="006457FF"/>
    <w:rsid w:val="00651E67"/>
    <w:rsid w:val="00652404"/>
    <w:rsid w:val="0065272C"/>
    <w:rsid w:val="006B006B"/>
    <w:rsid w:val="006B0E1B"/>
    <w:rsid w:val="006B1623"/>
    <w:rsid w:val="006C5408"/>
    <w:rsid w:val="006D779D"/>
    <w:rsid w:val="006D78F4"/>
    <w:rsid w:val="00711688"/>
    <w:rsid w:val="00735F51"/>
    <w:rsid w:val="00743C1F"/>
    <w:rsid w:val="00744569"/>
    <w:rsid w:val="00764180"/>
    <w:rsid w:val="007670E2"/>
    <w:rsid w:val="00790913"/>
    <w:rsid w:val="0079401B"/>
    <w:rsid w:val="007A42AE"/>
    <w:rsid w:val="007A44FB"/>
    <w:rsid w:val="007A7E07"/>
    <w:rsid w:val="007B466E"/>
    <w:rsid w:val="007C2B87"/>
    <w:rsid w:val="0083193A"/>
    <w:rsid w:val="008415B7"/>
    <w:rsid w:val="00856DF8"/>
    <w:rsid w:val="00861AB4"/>
    <w:rsid w:val="0087229E"/>
    <w:rsid w:val="008734A7"/>
    <w:rsid w:val="008B0693"/>
    <w:rsid w:val="008B4135"/>
    <w:rsid w:val="008B6E56"/>
    <w:rsid w:val="008C418D"/>
    <w:rsid w:val="008C4E6A"/>
    <w:rsid w:val="008D0988"/>
    <w:rsid w:val="008D5E28"/>
    <w:rsid w:val="008E65AB"/>
    <w:rsid w:val="008F4C22"/>
    <w:rsid w:val="00905498"/>
    <w:rsid w:val="00907645"/>
    <w:rsid w:val="0091512E"/>
    <w:rsid w:val="00926D49"/>
    <w:rsid w:val="009310E4"/>
    <w:rsid w:val="00933D4F"/>
    <w:rsid w:val="00941C02"/>
    <w:rsid w:val="00941DFC"/>
    <w:rsid w:val="00950038"/>
    <w:rsid w:val="00960720"/>
    <w:rsid w:val="00962E99"/>
    <w:rsid w:val="009728C3"/>
    <w:rsid w:val="009736E6"/>
    <w:rsid w:val="00973C09"/>
    <w:rsid w:val="009943C5"/>
    <w:rsid w:val="009A170C"/>
    <w:rsid w:val="009B0A56"/>
    <w:rsid w:val="009C2360"/>
    <w:rsid w:val="009C2A22"/>
    <w:rsid w:val="009D1444"/>
    <w:rsid w:val="009D245D"/>
    <w:rsid w:val="009D5F64"/>
    <w:rsid w:val="009D723F"/>
    <w:rsid w:val="009D7C9E"/>
    <w:rsid w:val="009F10D2"/>
    <w:rsid w:val="009F5DB3"/>
    <w:rsid w:val="009F6467"/>
    <w:rsid w:val="00A0556F"/>
    <w:rsid w:val="00A0710C"/>
    <w:rsid w:val="00A132EA"/>
    <w:rsid w:val="00A1744C"/>
    <w:rsid w:val="00A26391"/>
    <w:rsid w:val="00A366D4"/>
    <w:rsid w:val="00A5329C"/>
    <w:rsid w:val="00A6270B"/>
    <w:rsid w:val="00A65E54"/>
    <w:rsid w:val="00A75DAD"/>
    <w:rsid w:val="00A774EA"/>
    <w:rsid w:val="00A825FB"/>
    <w:rsid w:val="00A9255B"/>
    <w:rsid w:val="00A97A10"/>
    <w:rsid w:val="00AA1A27"/>
    <w:rsid w:val="00AA26E5"/>
    <w:rsid w:val="00AB2D11"/>
    <w:rsid w:val="00AE2732"/>
    <w:rsid w:val="00AE4D24"/>
    <w:rsid w:val="00AF1253"/>
    <w:rsid w:val="00AF3D8D"/>
    <w:rsid w:val="00B00BE7"/>
    <w:rsid w:val="00B02296"/>
    <w:rsid w:val="00B2160D"/>
    <w:rsid w:val="00B45139"/>
    <w:rsid w:val="00B52FB3"/>
    <w:rsid w:val="00B552DA"/>
    <w:rsid w:val="00B555F0"/>
    <w:rsid w:val="00B564E1"/>
    <w:rsid w:val="00B70DEA"/>
    <w:rsid w:val="00B74FBB"/>
    <w:rsid w:val="00B82BF8"/>
    <w:rsid w:val="00B83ADA"/>
    <w:rsid w:val="00B94DBE"/>
    <w:rsid w:val="00BA0709"/>
    <w:rsid w:val="00BA329E"/>
    <w:rsid w:val="00BA5E16"/>
    <w:rsid w:val="00BB01ED"/>
    <w:rsid w:val="00BB0E13"/>
    <w:rsid w:val="00BD2BF9"/>
    <w:rsid w:val="00BD4D26"/>
    <w:rsid w:val="00BD6F84"/>
    <w:rsid w:val="00BE007C"/>
    <w:rsid w:val="00BE71EF"/>
    <w:rsid w:val="00C00746"/>
    <w:rsid w:val="00C15336"/>
    <w:rsid w:val="00C311A4"/>
    <w:rsid w:val="00C44E53"/>
    <w:rsid w:val="00C51A1D"/>
    <w:rsid w:val="00C536A9"/>
    <w:rsid w:val="00C637F8"/>
    <w:rsid w:val="00C67870"/>
    <w:rsid w:val="00C7126B"/>
    <w:rsid w:val="00C83A8A"/>
    <w:rsid w:val="00C841E5"/>
    <w:rsid w:val="00C84A05"/>
    <w:rsid w:val="00C93063"/>
    <w:rsid w:val="00C93592"/>
    <w:rsid w:val="00C93E6B"/>
    <w:rsid w:val="00CA21D4"/>
    <w:rsid w:val="00CA222F"/>
    <w:rsid w:val="00CA61F3"/>
    <w:rsid w:val="00CB6C16"/>
    <w:rsid w:val="00CD0B57"/>
    <w:rsid w:val="00CE5C43"/>
    <w:rsid w:val="00CF18DF"/>
    <w:rsid w:val="00CF751F"/>
    <w:rsid w:val="00D05189"/>
    <w:rsid w:val="00D14601"/>
    <w:rsid w:val="00D16A32"/>
    <w:rsid w:val="00D26A9B"/>
    <w:rsid w:val="00D3374A"/>
    <w:rsid w:val="00D401B8"/>
    <w:rsid w:val="00D44B0C"/>
    <w:rsid w:val="00D4646D"/>
    <w:rsid w:val="00D465C3"/>
    <w:rsid w:val="00D46707"/>
    <w:rsid w:val="00D756F3"/>
    <w:rsid w:val="00D87873"/>
    <w:rsid w:val="00D9545A"/>
    <w:rsid w:val="00D95BBF"/>
    <w:rsid w:val="00DA0941"/>
    <w:rsid w:val="00DA7D01"/>
    <w:rsid w:val="00DB2DF6"/>
    <w:rsid w:val="00DD086D"/>
    <w:rsid w:val="00DD0A48"/>
    <w:rsid w:val="00DE0EE9"/>
    <w:rsid w:val="00DF1D0D"/>
    <w:rsid w:val="00DF278B"/>
    <w:rsid w:val="00DF7BCB"/>
    <w:rsid w:val="00E068E1"/>
    <w:rsid w:val="00E17B6C"/>
    <w:rsid w:val="00E3028C"/>
    <w:rsid w:val="00E43CE8"/>
    <w:rsid w:val="00E50AC1"/>
    <w:rsid w:val="00E50B05"/>
    <w:rsid w:val="00E51BDD"/>
    <w:rsid w:val="00E71452"/>
    <w:rsid w:val="00E80886"/>
    <w:rsid w:val="00E816BC"/>
    <w:rsid w:val="00E833FA"/>
    <w:rsid w:val="00E873F1"/>
    <w:rsid w:val="00E87BED"/>
    <w:rsid w:val="00EA0E7E"/>
    <w:rsid w:val="00EB1435"/>
    <w:rsid w:val="00EC1FF7"/>
    <w:rsid w:val="00EE7BCF"/>
    <w:rsid w:val="00EF6685"/>
    <w:rsid w:val="00F01B54"/>
    <w:rsid w:val="00F07B12"/>
    <w:rsid w:val="00F11509"/>
    <w:rsid w:val="00F13310"/>
    <w:rsid w:val="00F15D4F"/>
    <w:rsid w:val="00F204F4"/>
    <w:rsid w:val="00F462A5"/>
    <w:rsid w:val="00F51DDA"/>
    <w:rsid w:val="00F53008"/>
    <w:rsid w:val="00F66CFD"/>
    <w:rsid w:val="00F83D98"/>
    <w:rsid w:val="00F86DA9"/>
    <w:rsid w:val="00F90F47"/>
    <w:rsid w:val="00FA5602"/>
    <w:rsid w:val="00FC3F6B"/>
    <w:rsid w:val="00FC5EE7"/>
    <w:rsid w:val="00FC6677"/>
    <w:rsid w:val="00FC77A4"/>
    <w:rsid w:val="00FD09EB"/>
    <w:rsid w:val="00FD4D1F"/>
    <w:rsid w:val="00FE06BD"/>
    <w:rsid w:val="00F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B281"/>
  <w15:docId w15:val="{2DE3C042-CFCA-4A46-AC0D-859407D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931"/>
    <w:pPr>
      <w:ind w:left="720"/>
      <w:contextualSpacing/>
    </w:pPr>
  </w:style>
  <w:style w:type="paragraph" w:customStyle="1" w:styleId="ConsPlusNormal">
    <w:name w:val="ConsPlusNormal"/>
    <w:rsid w:val="0001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646D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7">
    <w:name w:val="Table Grid"/>
    <w:basedOn w:val="a1"/>
    <w:uiPriority w:val="59"/>
    <w:rsid w:val="005A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5E5676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E567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AE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051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tik.cap.ru/action/activity/construction/gradostroiteljnaya-deyateljnost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57AAB-5AE8-4A5B-BD49-7191785A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7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Отдел экономики и имущественных отношений администрации Янтиковсого района</cp:lastModifiedBy>
  <cp:revision>78</cp:revision>
  <cp:lastPrinted>2024-02-07T05:29:00Z</cp:lastPrinted>
  <dcterms:created xsi:type="dcterms:W3CDTF">2023-02-06T09:59:00Z</dcterms:created>
  <dcterms:modified xsi:type="dcterms:W3CDTF">2025-01-27T05:06:00Z</dcterms:modified>
</cp:coreProperties>
</file>