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6019" w:type="pct"/>
        <w:tblCellSpacing w:w="0" w:type="dxa"/>
        <w:tblInd w:w="-14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2"/>
      </w:tblGrid>
      <w:tr>
        <w:tblPrEx/>
        <w:trPr>
          <w:tblCellSpacing w:w="0" w:type="dxa"/>
          <w:trHeight w:val="450"/>
        </w:trPr>
        <w:tc>
          <w:tcPr>
            <w:tcMar>
              <w:left w:w="150" w:type="dxa"/>
              <w:top w:w="150" w:type="dxa"/>
              <w:right w:w="150" w:type="dxa"/>
              <w:bottom w:w="150" w:type="dxa"/>
            </w:tcMar>
            <w:tcW w:w="11622" w:type="dxa"/>
            <w:vMerge w:val="restart"/>
            <w:textDirection w:val="lrTb"/>
            <w:noWrap w:val="false"/>
          </w:tcPr>
          <w:tbl>
            <w:tblPr>
              <w:tblW w:w="20965" w:type="dxa"/>
              <w:tblCellSpacing w:w="0" w:type="dxa"/>
              <w:tblInd w:w="-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2"/>
              <w:gridCol w:w="9343"/>
            </w:tblGrid>
            <w:tr>
              <w:tblPrEx/>
              <w:trPr>
                <w:tblCellSpacing w:w="0" w:type="dxa"/>
              </w:trPr>
              <w:tc>
                <w:tcPr>
                  <w:tcW w:w="11622" w:type="dxa"/>
                  <w:textDirection w:val="lrTb"/>
                  <w:noWrap w:val="false"/>
                </w:tcPr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Министерство экономического развития и имущественных отношений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 Чувашской Республики информирует правообладателей торговых объектов (территорий) о том, что пункты 37 – 39 Требований к антитеррористической защищенности торговых объектов (территорий), утвержденных постановлением Правительства Российско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й Федерации от 19.10.2017 № 1273, устанавливают порядок информирования об угрозе совершения или о совершении террористического акта на торговом объекте (территории), включенном в Перечень торговых объектов (территорий), расположенных в пределах территории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Чувашской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Республики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 и подлежащих категорированию в интересах их антитеррористической защиты. </w:t>
                  </w:r>
                  <w:bookmarkStart w:id="0" w:name="_GoBack"/>
                  <w:r/>
                  <w:bookmarkEnd w:id="0"/>
                  <w:r/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Министерством подготовлена информация для правообладателей торговых объектов (территорий), включенных в указанный Перечень, о порядке такого информирования.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1. При обнаружении угрозы совершения террористического акта на торговом объекте (территории), получении информации (в том числе анонимной) об угрозе совершения террористического акта на торговом объекте (территории) и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ли совершении террористического акта на торговом объекте (территории) руководитель объекта (лицо, его замещающее) либо уполномоченное им лицо незамедлительно информирует об этом любыми доступными средствами связи территориальный орган безопасности, террито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риальный орган Министерства внутренних дел Российской Федерации,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обороны, чрезвычайным с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итуациям и ликвидации последствий стихийных бедствий по месту нахождения торгового объекта (территории), а также правообладателя торгового объекта (территории), уполномоченный орган субъекта Российской Федерации и администрацию муниципального образования.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2. При передаче вышеуказанной информации с помощью средств связи лицо, передающее информацию, сообщает: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- свои фамилию, имя, отчество (при наличии) и должность;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- наименование торгового объекта (территории) и его точный адрес;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- дату и время обнаружения угрозы совершения террористического акта на объекте (территории), получения информации об угрозе совершения террористического акта или совершения террористического акта;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- количество находящихся на торговом объекте (территории) людей;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- другие значимые сведения по запросу территориального органа безопасности, территориального органа Министерства внутренних дел Российской Феде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рации,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3. Лицо, передавшее информацию об угрозе совершения или о совершении террористического акта, фиксирует фамилию, имя, отчество (при наличии), должность лица, принявшего информацию, а также дату и время ее передачи.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При направлении такой информации с использованием средств факсимильной связи лицо, передающее информацию, удостоверяет сообщение своей подписью.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Для исполнения данных положений указанных Требований министерство информирует правообладателей торговых объектов (территорий) о номерах телеф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онов дежурных УФСБ России по Чувашской Республике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, УМВД России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по Чувашской Республике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 и его территориальных органов, Отдела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Росгвардии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по Чувашской Республике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, ГУ МЧС России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по Чувашской Республике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, а также о номерах телефонов, факса, адресе электронной почты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Минэкономразвития Чувашской Республики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 и номерах телефонов единых дежурных диспетчерских служб муниципальных образований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Чувашской Республики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Федеральная служба безопасности Российской Федерации</w:t>
                  </w: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Телефоны доверия:</w:t>
                  </w: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•для междугородних звонков 8 (495) 224-22-22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•логический номер 8-800-224-22-22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•для СМС сообщений 8-916-240-24-84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•электронная почта fsb@fsb.ru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Управление ФСБ России  по Чувашской Республике</w:t>
                  </w: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Телефоны доверия:</w:t>
                  </w: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•8(8352) 62-33-11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•8(8352) 62-15-00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•электронная почта: chuvashia@fsb.ru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Министерство внутренних дел по Чувашской Республике </w:t>
                  </w: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Телефоны экстренного реагирования:</w:t>
                  </w: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•городской телефон 02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•мобильный телефон 102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Телефоны доверия:</w:t>
                  </w: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•8(8352) 62-05-91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•8(8352) 62-34-06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•электронная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почта:mwd@cap.ru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Главное управление МЧС России по Чувашской Республике</w:t>
                  </w: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Единый телефон доверия: </w:t>
                  </w:r>
                  <w:r>
                    <w:rPr>
                      <w:rFonts w:ascii="Arial" w:hAnsi="Arial" w:eastAsia="Times New Roman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contextualSpacing/>
                    <w:ind w:firstLine="425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•8(8352) 39-99-99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Номера телефонов, факса, адрес электронной почты министерства 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экономического развития и имущественных отношений Чувашской Республики 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для приема сообщений об угрозе или совершении террористического акта на торговом объекте (территории)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Тел. 8 (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8352)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56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-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52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-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42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, доп. 2391 -  Чернова Елена Николаевна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– начальник отдела развития потребительского рынка Минэкономразвития Чувашии;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Тел. 8 (8352)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56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-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52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-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42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,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доп. 2341 -  Иллюминарская Наталья Владимировна -   консультант отдела развития потребительского рынка Минэкономразвития Чувашии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highlight w:val="none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Тел. 8 (8352)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56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-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5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2-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21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, доп. 2311 -  Смирнов Николай Александрович  -  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  <w:t xml:space="preserve">сектор мобилизационной подготовки Минэкономразвития Чувашии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highlight w:val="none"/>
                      <w:lang w:eastAsia="ru-RU"/>
                    </w:rPr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highlight w:val="none"/>
                      <w:lang w:eastAsia="ru-RU"/>
                    </w:rPr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highlight w:val="none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Также в 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Чувашской Республики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функционирует единый номер телефона вызова экстренных оперативных служб – 112.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  <w:t xml:space="preserve"> 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Министерство также информирует правообладателей торговых объектов (территорий), которые не включены в Перечень торговых объектов (территорий), расположенных в пределах территории 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Чувашской Республики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 подлежащих категорированию в интересах их антитеррористической защиты о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том, что об угрозе или совершении террористического акта на торговом объекте (территории) они должны сообщить об этом в полицию по телефону 02 (с городского телефона), 102 (с мобильного телефона) или вышеуказанным телефонам дежурных частей УМВД России по 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Чувашской Республики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 его территориальных органов либо по единому номеру телефона вызова экстренных оперативных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служб - 112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9343" w:type="dxa"/>
                  <w:textDirection w:val="lrTb"/>
                  <w:noWrap w:val="false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0"/>
                  </w:tblGrid>
                  <w:tr>
                    <w:tblPrEx/>
                    <w:trPr>
                      <w:tblCellSpacing w:w="0" w:type="dxa"/>
                    </w:trPr>
                    <w:tc>
                      <w:tcPr>
                        <w:tcW w:w="5000" w:type="pct"/>
                        <w:textDirection w:val="lrTb"/>
                        <w:noWrap w:val="false"/>
                      </w:tcPr>
                      <w:p>
                        <w:pPr>
                          <w:pStyle w:val="622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вызова экстренных оперативных служб – 112.</w:t>
                        </w:r>
                        <w:r>
                          <w:rPr>
                            <w:rFonts w:ascii="Arial" w:hAnsi="Arial" w:cs="Arial"/>
                          </w:rPr>
                        </w:r>
                      </w:p>
                    </w:tc>
                  </w:tr>
                </w:tbl>
                <w:p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blCellSpacing w:w="0" w:type="dxa"/>
              </w:trPr>
              <w:tc>
                <w:tcPr>
                  <w:tcW w:w="11622" w:type="dxa"/>
                  <w:textDirection w:val="lrTb"/>
                  <w:noWrap w:val="false"/>
                </w:tcPr>
                <w:p>
                  <w:pPr>
                    <w:ind w:firstLine="426"/>
                    <w:jc w:val="both"/>
                    <w:spacing w:before="75" w:after="0" w:line="240" w:lineRule="auto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9343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ind w:firstLine="426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ind w:firstLine="426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semiHidden/>
    <w:unhideWhenUsed/>
    <w:rPr>
      <w:strike w:val="0"/>
      <w:color w:val="2a6ebb"/>
      <w:u w:val="none"/>
    </w:rPr>
  </w:style>
  <w:style w:type="paragraph" w:styleId="622" w:customStyle="1">
    <w:name w:val="bodytext"/>
    <w:basedOn w:val="617"/>
    <w:pPr>
      <w:jc w:val="both"/>
      <w:spacing w:before="75"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economy68 (Чернова Е.Н.)</dc:creator>
  <cp:keywords/>
  <dc:description/>
  <cp:revision>7</cp:revision>
  <dcterms:created xsi:type="dcterms:W3CDTF">2018-10-30T07:24:00Z</dcterms:created>
  <dcterms:modified xsi:type="dcterms:W3CDTF">2025-02-13T11:48:31Z</dcterms:modified>
</cp:coreProperties>
</file>