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деятельности государственных и муниципальных музеев, обновленных в рамках реализации национального проекта «Культура»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6"/>
          <w:szCs w:val="26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14:ligatures w14:val="none"/>
        </w:rPr>
      </w:pPr>
      <w:r>
        <w:rPr>
          <w:color w:val="000000"/>
          <w:sz w:val="26"/>
          <w:szCs w:val="26"/>
        </w:rPr>
        <w:t xml:space="preserve">По состоянию на 1 мая 2025 г. </w:t>
      </w:r>
      <w:r>
        <w:rPr>
          <w:color w:val="000000"/>
          <w:sz w:val="26"/>
          <w:szCs w:val="26"/>
        </w:rPr>
        <w:t xml:space="preserve">в республике функционируют</w:t>
      </w:r>
      <w:r>
        <w:rPr>
          <w:color w:val="000000"/>
          <w:sz w:val="26"/>
          <w:szCs w:val="26"/>
        </w:rPr>
        <w:t xml:space="preserve">                                          </w:t>
      </w:r>
      <w:r>
        <w:rPr>
          <w:color w:val="000000"/>
          <w:sz w:val="26"/>
          <w:szCs w:val="26"/>
        </w:rPr>
        <w:t xml:space="preserve">3 государственных музея с 14 структурными подразделениями,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12 муниципальных музеев и 19 музеев, не имеющих юридической самостоятельности и являющихся структурными подразделениями муниципальных учреждений культуры,                         3 ведомственных музея.</w:t>
      </w:r>
      <w:r>
        <w:rPr>
          <w:color w:val="000000"/>
          <w:sz w:val="26"/>
          <w:szCs w:val="26"/>
        </w:rPr>
        <w:t xml:space="preserve"> Из них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36,8</w:t>
      </w:r>
      <w:r>
        <w:rPr>
          <w:color w:val="000000"/>
          <w:sz w:val="26"/>
          <w:szCs w:val="26"/>
        </w:rPr>
        <w:t xml:space="preserve"> %</w:t>
      </w:r>
      <w:r>
        <w:rPr>
          <w:color w:val="000000"/>
          <w:sz w:val="26"/>
          <w:szCs w:val="26"/>
        </w:rPr>
        <w:t xml:space="preserve"> располагается в приспособленных помещениях – объектах культурного наследия федерального и республиканского значения. 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6"/>
          <w:szCs w:val="26"/>
        </w:rPr>
        <w:t xml:space="preserve">В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2018-2024 годах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проведена планомерная работа по реставрации и ремонту зданий музеев. Среди них здания:</w:t>
      </w:r>
      <w:r>
        <w:rPr>
          <w:rFonts w:ascii="Arial" w:hAnsi="Arial" w:cs="Arial"/>
          <w:color w:val="2c2d2e"/>
          <w:sz w:val="23"/>
          <w:szCs w:val="23"/>
        </w:rPr>
      </w:r>
      <w:r>
        <w:rPr>
          <w:rFonts w:ascii="Arial" w:hAnsi="Arial" w:cs="Arial"/>
          <w:color w:val="2c2d2e"/>
          <w:sz w:val="23"/>
          <w:szCs w:val="23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3"/>
          <w:szCs w:val="23"/>
          <w14:ligatures w14:val="none"/>
        </w:rPr>
      </w:pPr>
      <w:r>
        <w:rPr>
          <w:color w:val="000000"/>
          <w:sz w:val="26"/>
          <w:szCs w:val="26"/>
        </w:rPr>
        <w:t xml:space="preserve">Музея купеческого и мещанского быта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Художественной галерее имени Ю.А.</w:t>
      </w:r>
      <w:r>
        <w:rPr>
          <w:color w:val="000000"/>
          <w:sz w:val="26"/>
          <w:szCs w:val="26"/>
        </w:rPr>
        <w:t xml:space="preserve"> </w:t>
      </w:r>
      <w:r>
        <w:rPr>
          <w:color w:val="000000"/>
          <w:sz w:val="26"/>
          <w:szCs w:val="26"/>
        </w:rPr>
        <w:t xml:space="preserve">Зайцева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Мариинско-Посадского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округа (2018-2021 гг.)</w:t>
      </w:r>
      <w:r>
        <w:rPr>
          <w:color w:val="000000"/>
          <w:sz w:val="26"/>
          <w:szCs w:val="26"/>
        </w:rPr>
        <w:t xml:space="preserve">;</w:t>
      </w:r>
      <w:r>
        <w:rPr>
          <w:color w:val="000000"/>
          <w:sz w:val="26"/>
          <w:szCs w:val="26"/>
        </w:rPr>
      </w:r>
      <w:r>
        <w:rPr>
          <w:color w:val="000000"/>
          <w:sz w:val="23"/>
          <w:szCs w:val="23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14:ligatures w14:val="none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t xml:space="preserve"> Отдела русского и зарубежного искусства </w:t>
      </w:r>
      <w:r>
        <w:rPr>
          <w:color w:val="000000"/>
          <w:sz w:val="26"/>
          <w:szCs w:val="26"/>
        </w:rPr>
        <w:t xml:space="preserve">(</w:t>
      </w:r>
      <w:r>
        <w:rPr>
          <w:color w:val="000000"/>
          <w:sz w:val="26"/>
          <w:szCs w:val="26"/>
        </w:rPr>
        <w:t xml:space="preserve">2018 г.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и Центра современного искусства </w:t>
      </w:r>
      <w:r>
        <w:rPr>
          <w:color w:val="000000"/>
          <w:sz w:val="26"/>
          <w:szCs w:val="26"/>
        </w:rPr>
        <w:t xml:space="preserve">Чувашского государственного художественного музея Минкультуры Чувашии </w:t>
      </w:r>
      <w:r>
        <w:rPr>
          <w:color w:val="000000"/>
          <w:sz w:val="26"/>
          <w:szCs w:val="26"/>
        </w:rPr>
        <w:t xml:space="preserve">(2019 г.)</w:t>
      </w:r>
      <w:r>
        <w:rPr>
          <w:color w:val="000000"/>
          <w:sz w:val="26"/>
          <w:szCs w:val="26"/>
        </w:rPr>
        <w:t xml:space="preserve">;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14:ligatures w14:val="none"/>
        </w:rPr>
      </w:pPr>
      <w:r>
        <w:rPr>
          <w:color w:val="000000"/>
          <w:sz w:val="26"/>
          <w:szCs w:val="26"/>
        </w:rPr>
        <w:t xml:space="preserve">Музея им. В. И. Чапаева (2018</w:t>
      </w:r>
      <w:r>
        <w:rPr>
          <w:color w:val="000000"/>
          <w:sz w:val="26"/>
          <w:szCs w:val="26"/>
        </w:rPr>
        <w:t xml:space="preserve">-20</w:t>
      </w:r>
      <w:r>
        <w:rPr>
          <w:color w:val="000000"/>
          <w:sz w:val="26"/>
          <w:szCs w:val="26"/>
        </w:rPr>
        <w:t xml:space="preserve">19</w:t>
      </w:r>
      <w:r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 xml:space="preserve">г.)</w:t>
      </w:r>
      <w:r>
        <w:rPr>
          <w:color w:val="000000"/>
          <w:sz w:val="26"/>
          <w:szCs w:val="26"/>
        </w:rPr>
        <w:t xml:space="preserve">;</w: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:highlight w:val="none"/>
        </w:rPr>
      </w:pPr>
      <w:r>
        <w:rPr>
          <w:rFonts w:hint="eastAsia"/>
          <w:color w:val="000000"/>
          <w:sz w:val="26"/>
          <w:szCs w:val="26"/>
          <w:highlight w:val="none"/>
        </w:rPr>
        <w:t xml:space="preserve">Дом</w:t>
      </w:r>
      <w:r>
        <w:rPr>
          <w:color w:val="000000"/>
          <w:sz w:val="26"/>
          <w:szCs w:val="26"/>
          <w:highlight w:val="none"/>
        </w:rPr>
        <w:t xml:space="preserve">-</w:t>
      </w:r>
      <w:r>
        <w:rPr>
          <w:rFonts w:hint="eastAsia"/>
          <w:color w:val="000000"/>
          <w:sz w:val="26"/>
          <w:szCs w:val="26"/>
          <w:highlight w:val="none"/>
        </w:rPr>
        <w:t xml:space="preserve">музея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rFonts w:hint="eastAsia"/>
          <w:color w:val="000000"/>
          <w:sz w:val="26"/>
          <w:szCs w:val="26"/>
          <w:highlight w:val="none"/>
        </w:rPr>
        <w:t xml:space="preserve">А</w:t>
      </w:r>
      <w:r>
        <w:rPr>
          <w:color w:val="000000"/>
          <w:sz w:val="26"/>
          <w:szCs w:val="26"/>
          <w:highlight w:val="none"/>
        </w:rPr>
        <w:t xml:space="preserve">.</w:t>
      </w:r>
      <w:r>
        <w:rPr>
          <w:rFonts w:hint="eastAsia"/>
          <w:color w:val="000000"/>
          <w:sz w:val="26"/>
          <w:szCs w:val="26"/>
          <w:highlight w:val="none"/>
        </w:rPr>
        <w:t xml:space="preserve">А</w:t>
      </w:r>
      <w:r>
        <w:rPr>
          <w:color w:val="000000"/>
          <w:sz w:val="26"/>
          <w:szCs w:val="26"/>
          <w:highlight w:val="none"/>
        </w:rPr>
        <w:t xml:space="preserve">. </w:t>
      </w:r>
      <w:r>
        <w:rPr>
          <w:rFonts w:hint="eastAsia"/>
          <w:color w:val="000000"/>
          <w:sz w:val="26"/>
          <w:szCs w:val="26"/>
          <w:highlight w:val="none"/>
        </w:rPr>
        <w:t xml:space="preserve">Кокеля</w:t>
      </w:r>
      <w:r>
        <w:rPr>
          <w:color w:val="000000"/>
          <w:sz w:val="26"/>
          <w:szCs w:val="26"/>
          <w:highlight w:val="none"/>
        </w:rPr>
        <w:t xml:space="preserve"> Батыревского муниципального округа (201</w:t>
      </w:r>
      <w:r>
        <w:rPr>
          <w:color w:val="000000"/>
          <w:sz w:val="26"/>
          <w:szCs w:val="26"/>
          <w:highlight w:val="none"/>
        </w:rPr>
        <w:t xml:space="preserve">9</w:t>
      </w:r>
      <w:r>
        <w:rPr>
          <w:color w:val="000000"/>
          <w:sz w:val="26"/>
          <w:szCs w:val="26"/>
          <w:highlight w:val="none"/>
        </w:rPr>
        <w:t xml:space="preserve">-2020 гг.) 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t xml:space="preserve">Художественно-краеведческого музея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 xml:space="preserve">Верхнеачакского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музея натурального хозяйства чувашского крестьянина 19 века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color w:val="000000"/>
          <w:sz w:val="26"/>
          <w:szCs w:val="26"/>
        </w:rPr>
        <w:t xml:space="preserve">Ядринского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муниципального округа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(2020-2022 гг.)</w:t>
      </w:r>
      <w:r>
        <w:rPr>
          <w:color w:val="000000"/>
          <w:sz w:val="26"/>
          <w:szCs w:val="26"/>
        </w:rPr>
        <w:t xml:space="preserve">;</w:t>
      </w:r>
      <w:r>
        <w:rPr>
          <w:rFonts w:ascii="Arial" w:hAnsi="Arial" w:cs="Arial"/>
          <w:color w:val="2c2d2e"/>
          <w:sz w:val="23"/>
          <w:szCs w:val="23"/>
        </w:rPr>
      </w:r>
      <w:r>
        <w:rPr>
          <w:rFonts w:ascii="Arial" w:hAnsi="Arial" w:cs="Arial"/>
          <w:color w:val="2c2d2e"/>
          <w:sz w:val="23"/>
          <w:szCs w:val="23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Краеведческого музея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города Канаш</w:t>
      </w:r>
      <w:r>
        <w:rPr>
          <w:rFonts w:ascii="Arial" w:hAnsi="Arial" w:cs="Arial"/>
          <w:color w:val="2c2d2e"/>
          <w:sz w:val="23"/>
          <w:szCs w:val="23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(2019-2020 гг., 2022-2023 гг.);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Этнографического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музея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под открытым небом</w:t>
      </w:r>
      <w:r>
        <w:rPr>
          <w:rFonts w:ascii="Arial" w:hAnsi="Arial" w:cs="Arial"/>
          <w:color w:val="2c2d2e"/>
          <w:sz w:val="23"/>
          <w:szCs w:val="23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Ибресинского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муниципального округа</w:t>
      </w:r>
      <w:r>
        <w:rPr>
          <w:rFonts w:ascii="Arial" w:hAnsi="Arial" w:cs="Arial"/>
          <w:color w:val="2c2d2e"/>
          <w:sz w:val="23"/>
          <w:szCs w:val="23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(2018-2019 гг.)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Историко-краеведческого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Дома-музея Н.И. Лобачевского Козловского муниципального округа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(2020-2022 гг.)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Историко-краеведческого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музея</w:t>
      </w:r>
      <w:r>
        <w:rPr>
          <w:rFonts w:ascii="Arial" w:hAnsi="Arial" w:cs="Arial"/>
          <w:color w:val="2c2d2e"/>
          <w:sz w:val="23"/>
          <w:szCs w:val="23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Цивильского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муниципального округа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(2019-2021 гг.)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Литературно-краеведческого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музея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Аликовского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муниципального округа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(2020-2021 гг.)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Краеведческого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музея г. Алатырь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(2019-2020 гг.)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Историко-краеведческого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музея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Порецкого муниципального округа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(2020 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rFonts w:ascii="Arial" w:hAnsi="Arial" w:cs="Arial"/>
          <w:color w:val="2c2d2e"/>
          <w:sz w:val="23"/>
          <w:szCs w:val="23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Яншихово-Норвашского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историко-мемориального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народного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музея и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Янтиковского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народного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краеведческого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музея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Янтиковского</w:t>
      </w:r>
      <w:r>
        <w:rPr>
          <w:rFonts w:ascii="Arial" w:hAnsi="Arial" w:cs="Arial"/>
          <w:color w:val="2c2d2e"/>
          <w:sz w:val="23"/>
          <w:szCs w:val="23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муниципального округа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(2020-2022 гг.)</w:t>
      </w:r>
      <w:r>
        <w:rPr>
          <w:rFonts w:ascii="Arial" w:hAnsi="Arial" w:cs="Arial"/>
          <w:color w:val="2c2d2e"/>
          <w:sz w:val="23"/>
          <w:szCs w:val="23"/>
          <w:highlight w:val="none"/>
        </w:rPr>
      </w:r>
      <w:r>
        <w:rPr>
          <w:rFonts w:ascii="Arial" w:hAnsi="Arial" w:cs="Arial"/>
          <w:color w:val="2c2d2e"/>
          <w:sz w:val="23"/>
          <w:szCs w:val="23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3"/>
          <w:szCs w:val="23"/>
          <w:highlight w:val="none"/>
          <w14:ligatures w14:val="none"/>
        </w:rPr>
      </w:pPr>
      <w:r>
        <w:rPr>
          <w:color w:val="000000"/>
          <w:sz w:val="26"/>
          <w:szCs w:val="26"/>
          <w:highlight w:val="none"/>
        </w:rPr>
        <w:t xml:space="preserve">Краеведческого народного музея «Человек и природа» им. Валериана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Толст</w:t>
      </w:r>
      <w:r>
        <w:rPr>
          <w:color w:val="000000"/>
          <w:sz w:val="26"/>
          <w:szCs w:val="26"/>
          <w:highlight w:val="none"/>
        </w:rPr>
        <w:t xml:space="preserve">ова-Атнарского»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Красночетайского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муниципального округа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(2019-2020 гг.)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3"/>
          <w:szCs w:val="23"/>
          <w:highlight w:val="none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:highlight w:val="none"/>
          <w14:ligatures w14:val="none"/>
        </w:rPr>
      </w:pPr>
      <w:r>
        <w:rPr>
          <w:color w:val="000000"/>
          <w:sz w:val="26"/>
          <w:szCs w:val="26"/>
          <w:highlight w:val="none"/>
        </w:rPr>
        <w:t xml:space="preserve"> Музея верховых чувашей Моргаушского муниципального округа (</w:t>
      </w:r>
      <w:r>
        <w:rPr>
          <w:color w:val="000000"/>
          <w:sz w:val="26"/>
          <w:szCs w:val="26"/>
          <w:highlight w:val="none"/>
        </w:rPr>
        <w:t xml:space="preserve">2023-</w:t>
      </w:r>
      <w:r>
        <w:rPr>
          <w:color w:val="000000"/>
          <w:sz w:val="26"/>
          <w:szCs w:val="26"/>
          <w:highlight w:val="none"/>
        </w:rPr>
        <w:t xml:space="preserve">2024 г</w:t>
      </w:r>
      <w:r>
        <w:rPr>
          <w:color w:val="000000"/>
          <w:sz w:val="26"/>
          <w:szCs w:val="26"/>
          <w:highlight w:val="none"/>
        </w:rPr>
        <w:t xml:space="preserve">г</w:t>
      </w:r>
      <w:r>
        <w:rPr>
          <w:color w:val="000000"/>
          <w:sz w:val="26"/>
          <w:szCs w:val="26"/>
          <w:highlight w:val="none"/>
        </w:rPr>
        <w:t xml:space="preserve">.) 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:highlight w:val="none"/>
          <w14:ligatures w14:val="none"/>
        </w:rPr>
      </w:pPr>
      <w:r>
        <w:rPr>
          <w:color w:val="000000"/>
          <w:sz w:val="26"/>
          <w:szCs w:val="26"/>
          <w:highlight w:val="none"/>
        </w:rPr>
        <w:t xml:space="preserve">Музея «Земля и люди» Комсомольского муниципального округа (202</w:t>
      </w:r>
      <w:r>
        <w:rPr>
          <w:color w:val="000000"/>
          <w:sz w:val="26"/>
          <w:szCs w:val="26"/>
          <w:highlight w:val="none"/>
        </w:rPr>
        <w:t xml:space="preserve">2</w:t>
      </w:r>
      <w:r>
        <w:rPr>
          <w:color w:val="000000"/>
          <w:sz w:val="26"/>
          <w:szCs w:val="26"/>
          <w:highlight w:val="none"/>
        </w:rPr>
        <w:t xml:space="preserve">-2024 гг. 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:highlight w:val="none"/>
          <w14:ligatures w14:val="none"/>
        </w:rPr>
      </w:pPr>
      <w:r>
        <w:rPr>
          <w:color w:val="000000"/>
          <w:sz w:val="26"/>
          <w:szCs w:val="26"/>
          <w:highlight w:val="none"/>
        </w:rPr>
        <w:t xml:space="preserve">Народноого историко-краеведческого музея Урмарского муниципального округа </w:t>
      </w:r>
      <w:r>
        <w:rPr>
          <w:color w:val="000000"/>
          <w:sz w:val="26"/>
          <w:szCs w:val="26"/>
          <w:highlight w:val="none"/>
        </w:rPr>
        <w:t xml:space="preserve">(2024 г.) ;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:highlight w:val="none"/>
          <w14:ligatures w14:val="none"/>
        </w:rPr>
      </w:pPr>
      <w:r>
        <w:rPr>
          <w:color w:val="000000"/>
          <w:sz w:val="26"/>
          <w:szCs w:val="26"/>
          <w:highlight w:val="none"/>
        </w:rPr>
        <w:t xml:space="preserve">Историко-краеведческого народного музея Вурнарского муниципального округа (2024 г.) 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  <w14:ligatures w14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Мемориального музея-квартиры М.С. Спиридонова (2024 г.)</w:t>
      </w:r>
      <w:r>
        <w:rPr>
          <w:color w:val="000000"/>
          <w:sz w:val="26"/>
          <w:szCs w:val="26"/>
          <w:highlight w:val="none"/>
        </w:rPr>
        <w:t xml:space="preserve">;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pStyle w:val="859"/>
        <w:shd w:val="clear" w:color="auto" w:fill="ffffff"/>
        <w:spacing w:after="0" w:afterAutospacing="0"/>
        <w:ind w:left="0" w:right="0" w:firstLine="567"/>
        <w:contextualSpacing/>
        <w:jc w:val="both"/>
        <w:rPr>
          <w:color w:val="000000"/>
          <w:sz w:val="26"/>
          <w:szCs w:val="26"/>
          <w:highlight w:val="none"/>
        </w:rPr>
      </w:pPr>
      <w:r>
        <w:rPr>
          <w:color w:val="000000"/>
          <w:sz w:val="26"/>
          <w:szCs w:val="26"/>
          <w:highlight w:val="none"/>
        </w:rPr>
        <w:t xml:space="preserve">В 2025 г. проводится реконструкция Музея «Бичурин и современность» Чебоксарского муницип</w:t>
      </w:r>
      <w:bookmarkStart w:id="0" w:name="undefined"/>
      <w:r>
        <w:rPr>
          <w:highlight w:val="none"/>
        </w:rPr>
      </w:r>
      <w:bookmarkEnd w:id="0"/>
      <w:r>
        <w:rPr>
          <w:color w:val="000000"/>
          <w:sz w:val="26"/>
          <w:szCs w:val="26"/>
          <w:highlight w:val="none"/>
        </w:rPr>
        <w:t xml:space="preserve">ального округа и начата реконструкция </w:t>
      </w:r>
      <w:r>
        <w:rPr>
          <w:color w:val="000000"/>
          <w:sz w:val="26"/>
          <w:szCs w:val="26"/>
          <w:highlight w:val="none"/>
        </w:rPr>
        <w:t xml:space="preserve">Музея космонавтики </w:t>
      </w:r>
      <w:r>
        <w:rPr>
          <w:color w:val="000000"/>
          <w:sz w:val="26"/>
          <w:szCs w:val="26"/>
          <w:highlight w:val="none"/>
        </w:rPr>
        <w:t xml:space="preserve">в</w:t>
      </w:r>
      <w:r>
        <w:rPr>
          <w:color w:val="000000"/>
          <w:sz w:val="26"/>
          <w:szCs w:val="26"/>
          <w:highlight w:val="none"/>
        </w:rPr>
        <w:t xml:space="preserve"> </w:t>
      </w:r>
      <w:r>
        <w:rPr>
          <w:color w:val="000000"/>
          <w:sz w:val="26"/>
          <w:szCs w:val="26"/>
          <w:highlight w:val="none"/>
        </w:rPr>
        <w:t xml:space="preserve">с</w:t>
      </w:r>
      <w:r>
        <w:rPr>
          <w:color w:val="000000"/>
          <w:sz w:val="26"/>
          <w:szCs w:val="26"/>
          <w:highlight w:val="none"/>
        </w:rPr>
        <w:t xml:space="preserve">. Шоршелы Мариинско-Посадского муниципального округа. </w:t>
      </w:r>
      <w:r>
        <w:rPr>
          <w:color w:val="000000"/>
          <w:sz w:val="26"/>
          <w:szCs w:val="26"/>
          <w:highlight w:val="none"/>
        </w:rPr>
      </w:r>
      <w:r>
        <w:rPr>
          <w:color w:val="000000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реализацию национального проекта музеи включены с 2022 года с мероприятием «Техническое оснащение региональных и муниципальных музеев».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конкурсного отбора в 2023 году в республике модернизированы 2 музея.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Музей на Мемориале «Строителям безмолвных рубежей» на общую сумму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15,8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млн. рублей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из которых 11,8 млн. рублей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средства федерального бюджета. В Музее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создан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мультимедийная экспозиция как внутри здания, так и с уличной стороны. </w:t>
      </w:r>
      <w:r>
        <w:rPr>
          <w:rFonts w:ascii="Times New Roman" w:hAnsi="Times New Roman" w:cs="Times New Roman"/>
          <w:sz w:val="26"/>
          <w:szCs w:val="26"/>
        </w:rPr>
        <w:t xml:space="preserve">За три года с момента открытия мемориальный комплекс посетили более 82 тыс. ч</w:t>
      </w:r>
      <w:r>
        <w:rPr>
          <w:rFonts w:ascii="Times New Roman" w:hAnsi="Times New Roman" w:cs="Times New Roman"/>
          <w:sz w:val="26"/>
          <w:szCs w:val="26"/>
        </w:rPr>
        <w:t xml:space="preserve">еловек – жители и гости Чувашии. Здесь проводят свои встречи и мероприятия ветераны боевых действий, кадеты и юнармейцы, молодожены приезжают почтить память защитников Отечества перед началом новой жизни, он вошел в межрегиональные туристические маршруты.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Алатырский краеведческий музей, в котором создан Музей русской провинци</w:t>
      </w:r>
      <w:r>
        <w:rPr>
          <w:rFonts w:ascii="Times New Roman" w:hAnsi="Times New Roman" w:cs="Times New Roman"/>
          <w:sz w:val="26"/>
          <w:szCs w:val="26"/>
        </w:rPr>
        <w:t xml:space="preserve">и на общую сумму 28,3 млн. рублей, из которых 10 млн. рублей - средства федерального бюджета, 16,6 млн. рублей – средства республиканского бюджета Чувашской Республики, 1,7 млн. рублей – средства муниципального образования. По итогам модернизации создано 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экспозиционных залов, 1  выставочный зал и 3 зала изобразительного искусства.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посетителей музея по итогам 2024 года по сравнению с </w:t>
      </w:r>
      <w:r>
        <w:rPr>
          <w:rFonts w:ascii="Times New Roman" w:hAnsi="Times New Roman" w:cs="Times New Roman"/>
          <w:sz w:val="26"/>
          <w:szCs w:val="26"/>
        </w:rPr>
        <w:t xml:space="preserve">2023 годом увеличилось на 75% и составило 32,2 тыс. человек (18,4 тыс. человек в 2023 году соответственно).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2024 году в рамках национального проекта «Культура»  модернизированы 3 музея.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88"/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Чувашский государственный художественный музей на сумму 14 141,4 тыс. рублей. </w:t>
      </w:r>
      <w:r>
        <w:rPr>
          <w:rFonts w:ascii="Times New Roman" w:hAnsi="Times New Roman" w:cs="Times New Roman"/>
          <w:sz w:val="26"/>
          <w:szCs w:val="26"/>
        </w:rPr>
        <w:t xml:space="preserve">Музеем были приобретены витрины, выставочные подиумы, мольберты, профессиональные двухсторонние стенды, картоте</w:t>
      </w:r>
      <w:r>
        <w:rPr>
          <w:rFonts w:ascii="Times New Roman" w:hAnsi="Times New Roman" w:cs="Times New Roman"/>
          <w:sz w:val="26"/>
          <w:szCs w:val="26"/>
        </w:rPr>
        <w:t xml:space="preserve">чные шкафы, подвесная система для картин, сервер, фотоаппарат с объективом, компьютеры, ноутбук, телевизоры, программное обеспечение АС «Музей ГИВЦ» и товары для организации доступной среды (тактильно-звуковые мнемосхемы и таблички, кресло-коляски и др.).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Современное экспозиционное оборудование позволило увеличить и сделать более зрелищными выставочные проекты, размещая экспонаты в многомодульные витрины, на мобильные стенды, подсвечивая их, при необходимости, выделяя визуальные особенности.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Картотечные шкафы активно используются при логистике размещения фондовых музейных произведений, находящихся в хранениях в стеснённых условиях. При неизменных, пока, условиях помещений фондохранилищ, но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вые шкафы-драйверы решают проблему хранения, согласно «Правил организации хранения, комплектования, учета и использования Музейного фонда Российской Федерации»: в том числе, позволяют обеспечить пыле- и влагозащиту, и систематизировать музейные коллекции.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Приобретенные компьютеры, фотооборудование и программное обеспечение, позволило в установленные сроки внести сведения о музейных предметах и коллекциях Чувашского государственного художественного музея в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Государственный каталог Музейного фонда Российской Федерации и продолжать данную деятельность уже в рабочем порядке.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Установлен мультимедийный комплект с акустической системой, для качественного проведения массовых мероприятий в центральном музейном здании, имеющем для этого обширную площадь.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Во всех филиалах музея уставлены турникеты с планками «Антипаника», предназн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аченные для обеспечения беспрепятственного выхода из помещения во время пожара, аварии, эвакуации. Эта функция позволяет предотвратить панику, которая возникает, если большое количество людей пытается одновременно покинуть здание через единственный выход.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В целом музей получил более 1000 единиц нового оборудования.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Историко-краеведческий Дом-музей Н.И. Лобачевского Козловского муниципального округа на общую сумму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15 753,2 тыс.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рублей, из которых 5 101,0 тыс. рублей средства федерального бюджета,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 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063,6 тыс. руб. – средства республиканского бюджета, местного бюджета – 689,6 тыс. руб.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Чувашской Республики.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Музей оснащен современными техническими средствами</w:t>
      </w:r>
      <w:r>
        <w:rPr>
          <w:rFonts w:ascii="Times New Roman" w:hAnsi="Times New Roman" w:cs="Times New Roman"/>
          <w:sz w:val="26"/>
          <w:szCs w:val="26"/>
        </w:rPr>
        <w:t xml:space="preserve">. По итогам модернизации здесь создан познавательно-образовательный центр математики с организацией интерактивных экспозиционных зон.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 втором этаже музея создали систему открытого хранения фондовых коллекций.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Обновленная музейная экспозиция открылась 4 декабря 2024 г.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Музей включен в туристический маршрут.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eastAsia="Calibri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Ядринский районный художественно-краеведческий музей на сумму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6 121,2 тыс. рублей, из них: средства федерального бюджета – 6 000,0 тыс. рублей, республиканского бюджета – 60,6 тыс. рублей, местного бюджета – 60,6 тыс. рублей. 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</w:p>
    <w:p>
      <w:pPr>
        <w:shd w:val="clear" w:color="auto" w:fill="ffffff"/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Приобретены лазерный проектор, компьютер, ноутбук, </w:t>
      </w:r>
      <w:r>
        <w:rPr>
          <w:rFonts w:ascii="Times New Roman" w:hAnsi="Times New Roman" w:eastAsia="Calibri" w:cs="Times New Roman"/>
          <w:sz w:val="26"/>
          <w:szCs w:val="26"/>
        </w:rPr>
        <w:t xml:space="preserve">5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информационных стендов подвесных со стеклянным коробом, экспозиционная конструкция «Блиндаж», стеллажи для хранении, информационные панели с подсветкой, подвесная система для фото, витрины напольные и проч.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Открытие обновленной экспозиции музея </w:t>
      </w:r>
      <w:r>
        <w:rPr>
          <w:rFonts w:ascii="Times New Roman" w:hAnsi="Times New Roman" w:cs="Times New Roman"/>
          <w:sz w:val="26"/>
          <w:szCs w:val="26"/>
        </w:rPr>
        <w:t xml:space="preserve">состоялось 27 декабря 2024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Музей включен в туристический маршрут.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</w:r>
    </w:p>
    <w:p>
      <w:pPr>
        <w:shd w:val="clear" w:color="auto" w:fill="ffffff"/>
        <w:spacing w:after="0" w:afterAutospacing="0" w:line="240" w:lineRule="auto"/>
        <w:ind w:left="0" w:right="0" w:firstLine="567"/>
        <w:jc w:val="both"/>
        <w:rPr>
          <w:rFonts w:ascii="Times New Roman" w:hAnsi="Times New Roman" w:eastAsia="Calibri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В рамках национального проекта «Культура» в 2024 г. проведен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к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апитальный ремонт в Мемориальном музее-квартире М.С. Спиридонова на общую сумму 2,2 млн. рублей. 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В 2025 г. Создана обновленная экспозиция. 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</w:r>
    </w:p>
    <w:p>
      <w:pPr>
        <w:shd w:val="clear" w:color="auto" w:fill="ffffff"/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В 2025 году ведется обновление экспозиции Аликовского литературно-краеведческого музея. по итогам конкурсного отбора на техническое оснащение музея выделено 7 070,7 тыс. рублей. На эти средства планируется</w:t>
      </w:r>
      <w:r>
        <w:rPr>
          <w:rFonts w:ascii="Times New Roman" w:hAnsi="Times New Roman" w:eastAsia="Calibri" w:cs="Times New Roman"/>
          <w:color w:val="000000"/>
          <w:sz w:val="26"/>
          <w:szCs w:val="26"/>
        </w:rPr>
        <w:t xml:space="preserve"> реэксп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озиция 6 экспозиционных залов музея: «Зал этнографии», «Выставочный зал», «Зал литературы и искусства», «Зал природы», «Зал краеведения» и «Зал боевой славы».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средства из федерального бюджета музей планирует закупить экспозиционно-выставочное оборудование, в том числе: э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кспозиционные витрины на различные комплексы, согласно дизайнерскому проекту: развитие района, памятники истории, спорт, кузнечное дело, крестьянские войны, Акрамовская война, коллективизация, все для фронта, землянка, подводный мир и др.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spacing w:after="0" w:afterAutospacing="0" w:line="240" w:lineRule="auto"/>
        <w:ind w:left="0"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Title Char"/>
    <w:basedOn w:val="667"/>
    <w:link w:val="690"/>
    <w:uiPriority w:val="10"/>
    <w:rPr>
      <w:sz w:val="48"/>
      <w:szCs w:val="48"/>
    </w:rPr>
  </w:style>
  <w:style w:type="character" w:styleId="661">
    <w:name w:val="Subtitle Char"/>
    <w:basedOn w:val="667"/>
    <w:link w:val="692"/>
    <w:uiPriority w:val="11"/>
    <w:rPr>
      <w:sz w:val="24"/>
      <w:szCs w:val="24"/>
    </w:rPr>
  </w:style>
  <w:style w:type="character" w:styleId="662">
    <w:name w:val="Quote Char"/>
    <w:link w:val="694"/>
    <w:uiPriority w:val="29"/>
    <w:rPr>
      <w:i/>
    </w:rPr>
  </w:style>
  <w:style w:type="character" w:styleId="663">
    <w:name w:val="Intense Quote Char"/>
    <w:link w:val="696"/>
    <w:uiPriority w:val="30"/>
    <w:rPr>
      <w:i/>
    </w:rPr>
  </w:style>
  <w:style w:type="character" w:styleId="664">
    <w:name w:val="Footnote Text Char"/>
    <w:link w:val="831"/>
    <w:uiPriority w:val="99"/>
    <w:rPr>
      <w:sz w:val="18"/>
    </w:rPr>
  </w:style>
  <w:style w:type="character" w:styleId="665">
    <w:name w:val="Endnote Text Char"/>
    <w:link w:val="834"/>
    <w:uiPriority w:val="99"/>
    <w:rPr>
      <w:sz w:val="20"/>
    </w:rPr>
  </w:style>
  <w:style w:type="paragraph" w:styleId="666" w:default="1">
    <w:name w:val="Normal"/>
    <w:qFormat/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paragraph" w:styleId="670" w:customStyle="1">
    <w:name w:val="Heading 1"/>
    <w:basedOn w:val="666"/>
    <w:next w:val="666"/>
    <w:link w:val="671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71" w:customStyle="1">
    <w:name w:val="Heading 1 Char"/>
    <w:basedOn w:val="667"/>
    <w:link w:val="670"/>
    <w:uiPriority w:val="9"/>
    <w:rPr>
      <w:rFonts w:ascii="Arial" w:hAnsi="Arial" w:eastAsia="Arial" w:cs="Arial"/>
      <w:sz w:val="40"/>
      <w:szCs w:val="40"/>
    </w:rPr>
  </w:style>
  <w:style w:type="paragraph" w:styleId="672" w:customStyle="1">
    <w:name w:val="Heading 2"/>
    <w:basedOn w:val="666"/>
    <w:next w:val="666"/>
    <w:link w:val="673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character" w:styleId="673" w:customStyle="1">
    <w:name w:val="Heading 2 Char"/>
    <w:basedOn w:val="667"/>
    <w:link w:val="672"/>
    <w:uiPriority w:val="9"/>
    <w:rPr>
      <w:rFonts w:ascii="Arial" w:hAnsi="Arial" w:eastAsia="Arial" w:cs="Arial"/>
      <w:sz w:val="34"/>
    </w:rPr>
  </w:style>
  <w:style w:type="paragraph" w:styleId="674" w:customStyle="1">
    <w:name w:val="Heading 3"/>
    <w:basedOn w:val="666"/>
    <w:next w:val="666"/>
    <w:link w:val="675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75" w:customStyle="1">
    <w:name w:val="Heading 3 Char"/>
    <w:basedOn w:val="667"/>
    <w:link w:val="674"/>
    <w:uiPriority w:val="9"/>
    <w:rPr>
      <w:rFonts w:ascii="Arial" w:hAnsi="Arial" w:eastAsia="Arial" w:cs="Arial"/>
      <w:sz w:val="30"/>
      <w:szCs w:val="30"/>
    </w:rPr>
  </w:style>
  <w:style w:type="paragraph" w:styleId="676" w:customStyle="1">
    <w:name w:val="Heading 4"/>
    <w:basedOn w:val="666"/>
    <w:next w:val="666"/>
    <w:link w:val="677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4 Char"/>
    <w:basedOn w:val="66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 w:customStyle="1">
    <w:name w:val="Heading 5"/>
    <w:basedOn w:val="666"/>
    <w:next w:val="666"/>
    <w:link w:val="679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5 Char"/>
    <w:basedOn w:val="66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 w:customStyle="1">
    <w:name w:val="Heading 6"/>
    <w:basedOn w:val="666"/>
    <w:next w:val="666"/>
    <w:link w:val="681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character" w:styleId="681" w:customStyle="1">
    <w:name w:val="Heading 6 Char"/>
    <w:basedOn w:val="66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 w:customStyle="1">
    <w:name w:val="Heading 7"/>
    <w:basedOn w:val="666"/>
    <w:next w:val="666"/>
    <w:link w:val="683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83" w:customStyle="1">
    <w:name w:val="Heading 7 Char"/>
    <w:basedOn w:val="66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 w:customStyle="1">
    <w:name w:val="Heading 8"/>
    <w:basedOn w:val="666"/>
    <w:next w:val="666"/>
    <w:link w:val="685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character" w:styleId="685" w:customStyle="1">
    <w:name w:val="Heading 8 Char"/>
    <w:basedOn w:val="66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 w:customStyle="1">
    <w:name w:val="Heading 9"/>
    <w:basedOn w:val="666"/>
    <w:next w:val="666"/>
    <w:link w:val="687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customStyle="1">
    <w:name w:val="Heading 9 Char"/>
    <w:basedOn w:val="66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666"/>
    <w:uiPriority w:val="34"/>
    <w:qFormat/>
    <w:pPr>
      <w:ind w:left="720"/>
      <w:contextualSpacing/>
    </w:pPr>
  </w:style>
  <w:style w:type="paragraph" w:styleId="689">
    <w:name w:val="No Spacing"/>
    <w:uiPriority w:val="1"/>
    <w:qFormat/>
    <w:pPr>
      <w:spacing w:after="0" w:line="240" w:lineRule="auto"/>
    </w:pPr>
  </w:style>
  <w:style w:type="paragraph" w:styleId="690">
    <w:name w:val="Title"/>
    <w:basedOn w:val="666"/>
    <w:next w:val="666"/>
    <w:link w:val="691"/>
    <w:uiPriority w:val="10"/>
    <w:qFormat/>
    <w:pPr>
      <w:spacing w:before="300"/>
      <w:contextualSpacing/>
    </w:pPr>
    <w:rPr>
      <w:sz w:val="48"/>
      <w:szCs w:val="48"/>
    </w:rPr>
  </w:style>
  <w:style w:type="character" w:styleId="691" w:customStyle="1">
    <w:name w:val="Название Знак"/>
    <w:basedOn w:val="667"/>
    <w:link w:val="690"/>
    <w:uiPriority w:val="10"/>
    <w:rPr>
      <w:sz w:val="48"/>
      <w:szCs w:val="48"/>
    </w:rPr>
  </w:style>
  <w:style w:type="paragraph" w:styleId="692">
    <w:name w:val="Subtitle"/>
    <w:basedOn w:val="666"/>
    <w:next w:val="666"/>
    <w:link w:val="693"/>
    <w:uiPriority w:val="11"/>
    <w:qFormat/>
    <w:pPr>
      <w:spacing w:before="200"/>
    </w:pPr>
    <w:rPr>
      <w:sz w:val="24"/>
      <w:szCs w:val="24"/>
    </w:rPr>
  </w:style>
  <w:style w:type="character" w:styleId="693" w:customStyle="1">
    <w:name w:val="Подзаголовок Знак"/>
    <w:basedOn w:val="667"/>
    <w:link w:val="692"/>
    <w:uiPriority w:val="11"/>
    <w:rPr>
      <w:sz w:val="24"/>
      <w:szCs w:val="24"/>
    </w:rPr>
  </w:style>
  <w:style w:type="paragraph" w:styleId="694">
    <w:name w:val="Quote"/>
    <w:basedOn w:val="666"/>
    <w:next w:val="666"/>
    <w:link w:val="695"/>
    <w:uiPriority w:val="29"/>
    <w:qFormat/>
    <w:pPr>
      <w:ind w:left="720" w:right="720"/>
    </w:pPr>
    <w:rPr>
      <w:i/>
    </w:rPr>
  </w:style>
  <w:style w:type="character" w:styleId="695" w:customStyle="1">
    <w:name w:val="Цитата 2 Знак"/>
    <w:link w:val="694"/>
    <w:uiPriority w:val="29"/>
    <w:rPr>
      <w:i/>
    </w:rPr>
  </w:style>
  <w:style w:type="paragraph" w:styleId="696">
    <w:name w:val="Intense Quote"/>
    <w:basedOn w:val="666"/>
    <w:next w:val="666"/>
    <w:link w:val="69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7" w:customStyle="1">
    <w:name w:val="Выделенная цитата Знак"/>
    <w:link w:val="696"/>
    <w:uiPriority w:val="30"/>
    <w:rPr>
      <w:i/>
    </w:rPr>
  </w:style>
  <w:style w:type="paragraph" w:styleId="698" w:customStyle="1">
    <w:name w:val="Header"/>
    <w:basedOn w:val="666"/>
    <w:link w:val="69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699" w:customStyle="1">
    <w:name w:val="Header Char"/>
    <w:basedOn w:val="667"/>
    <w:link w:val="698"/>
    <w:uiPriority w:val="99"/>
  </w:style>
  <w:style w:type="paragraph" w:styleId="700" w:customStyle="1">
    <w:name w:val="Footer"/>
    <w:basedOn w:val="666"/>
    <w:link w:val="70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1" w:customStyle="1">
    <w:name w:val="Footer Char"/>
    <w:basedOn w:val="667"/>
    <w:link w:val="700"/>
    <w:uiPriority w:val="99"/>
  </w:style>
  <w:style w:type="paragraph" w:styleId="702" w:customStyle="1">
    <w:name w:val="Caption"/>
    <w:basedOn w:val="666"/>
    <w:next w:val="66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3" w:customStyle="1">
    <w:name w:val="Caption Char"/>
    <w:link w:val="700"/>
    <w:uiPriority w:val="99"/>
  </w:style>
  <w:style w:type="table" w:styleId="704">
    <w:name w:val="Table Grid"/>
    <w:basedOn w:val="6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 w:customStyle="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 w:customStyle="1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4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5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6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7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8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9" w:customStyle="1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0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41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42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43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44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45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46" w:customStyle="1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8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9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0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1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2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4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5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6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7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8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0" w:customStyle="1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4" w:customStyle="1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7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8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9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0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1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2" w:customStyle="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3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4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5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6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7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9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1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2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3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4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5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6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8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9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0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1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2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3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5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6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7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8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9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666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 w:customStyle="1">
    <w:name w:val="Текст сноски Знак"/>
    <w:link w:val="831"/>
    <w:uiPriority w:val="99"/>
    <w:rPr>
      <w:sz w:val="18"/>
    </w:rPr>
  </w:style>
  <w:style w:type="character" w:styleId="833">
    <w:name w:val="footnote reference"/>
    <w:basedOn w:val="667"/>
    <w:uiPriority w:val="99"/>
    <w:unhideWhenUsed/>
    <w:rPr>
      <w:vertAlign w:val="superscript"/>
    </w:rPr>
  </w:style>
  <w:style w:type="paragraph" w:styleId="834">
    <w:name w:val="endnote text"/>
    <w:basedOn w:val="666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 w:customStyle="1">
    <w:name w:val="Текст концевой сноски Знак"/>
    <w:link w:val="834"/>
    <w:uiPriority w:val="99"/>
    <w:rPr>
      <w:sz w:val="20"/>
    </w:rPr>
  </w:style>
  <w:style w:type="character" w:styleId="836">
    <w:name w:val="endnote reference"/>
    <w:basedOn w:val="667"/>
    <w:uiPriority w:val="99"/>
    <w:semiHidden/>
    <w:unhideWhenUsed/>
    <w:rPr>
      <w:vertAlign w:val="superscript"/>
    </w:rPr>
  </w:style>
  <w:style w:type="paragraph" w:styleId="837">
    <w:name w:val="toc 1"/>
    <w:basedOn w:val="666"/>
    <w:next w:val="666"/>
    <w:uiPriority w:val="39"/>
    <w:unhideWhenUsed/>
    <w:pPr>
      <w:spacing w:after="57"/>
    </w:pPr>
  </w:style>
  <w:style w:type="paragraph" w:styleId="838">
    <w:name w:val="toc 2"/>
    <w:basedOn w:val="666"/>
    <w:next w:val="666"/>
    <w:uiPriority w:val="39"/>
    <w:unhideWhenUsed/>
    <w:pPr>
      <w:spacing w:after="57"/>
      <w:ind w:left="283"/>
    </w:pPr>
  </w:style>
  <w:style w:type="paragraph" w:styleId="839">
    <w:name w:val="toc 3"/>
    <w:basedOn w:val="666"/>
    <w:next w:val="666"/>
    <w:uiPriority w:val="39"/>
    <w:unhideWhenUsed/>
    <w:pPr>
      <w:spacing w:after="57"/>
      <w:ind w:left="567"/>
    </w:pPr>
  </w:style>
  <w:style w:type="paragraph" w:styleId="840">
    <w:name w:val="toc 4"/>
    <w:basedOn w:val="666"/>
    <w:next w:val="666"/>
    <w:uiPriority w:val="39"/>
    <w:unhideWhenUsed/>
    <w:pPr>
      <w:spacing w:after="57"/>
      <w:ind w:left="850"/>
    </w:pPr>
  </w:style>
  <w:style w:type="paragraph" w:styleId="841">
    <w:name w:val="toc 5"/>
    <w:basedOn w:val="666"/>
    <w:next w:val="666"/>
    <w:uiPriority w:val="39"/>
    <w:unhideWhenUsed/>
    <w:pPr>
      <w:spacing w:after="57"/>
      <w:ind w:left="1134"/>
    </w:pPr>
  </w:style>
  <w:style w:type="paragraph" w:styleId="842">
    <w:name w:val="toc 6"/>
    <w:basedOn w:val="666"/>
    <w:next w:val="666"/>
    <w:uiPriority w:val="39"/>
    <w:unhideWhenUsed/>
    <w:pPr>
      <w:spacing w:after="57"/>
      <w:ind w:left="1417"/>
    </w:pPr>
  </w:style>
  <w:style w:type="paragraph" w:styleId="843">
    <w:name w:val="toc 7"/>
    <w:basedOn w:val="666"/>
    <w:next w:val="666"/>
    <w:uiPriority w:val="39"/>
    <w:unhideWhenUsed/>
    <w:pPr>
      <w:spacing w:after="57"/>
      <w:ind w:left="1701"/>
    </w:pPr>
  </w:style>
  <w:style w:type="paragraph" w:styleId="844">
    <w:name w:val="toc 8"/>
    <w:basedOn w:val="666"/>
    <w:next w:val="666"/>
    <w:uiPriority w:val="39"/>
    <w:unhideWhenUsed/>
    <w:pPr>
      <w:spacing w:after="57"/>
      <w:ind w:left="1984"/>
    </w:pPr>
  </w:style>
  <w:style w:type="paragraph" w:styleId="845">
    <w:name w:val="toc 9"/>
    <w:basedOn w:val="666"/>
    <w:next w:val="666"/>
    <w:uiPriority w:val="39"/>
    <w:unhideWhenUsed/>
    <w:pPr>
      <w:spacing w:after="57"/>
      <w:ind w:left="2268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666"/>
    <w:next w:val="666"/>
    <w:uiPriority w:val="99"/>
    <w:unhideWhenUsed/>
    <w:pPr>
      <w:spacing w:after="0"/>
    </w:pPr>
  </w:style>
  <w:style w:type="character" w:styleId="848">
    <w:name w:val="Strong"/>
    <w:basedOn w:val="667"/>
    <w:uiPriority w:val="99"/>
    <w:qFormat/>
    <w:rPr>
      <w:rFonts w:cs="Times New Roman"/>
      <w:b/>
    </w:rPr>
  </w:style>
  <w:style w:type="paragraph" w:styleId="849" w:customStyle="1">
    <w:name w:val="Без интервала1"/>
    <w:link w:val="85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50" w:customStyle="1">
    <w:name w:val="s16"/>
    <w:basedOn w:val="667"/>
    <w:uiPriority w:val="99"/>
    <w:rPr>
      <w:rFonts w:cs="Times New Roman"/>
    </w:rPr>
  </w:style>
  <w:style w:type="character" w:styleId="851" w:customStyle="1">
    <w:name w:val="s18"/>
    <w:basedOn w:val="667"/>
    <w:uiPriority w:val="99"/>
    <w:rPr>
      <w:rFonts w:cs="Times New Roman"/>
    </w:rPr>
  </w:style>
  <w:style w:type="paragraph" w:styleId="852" w:customStyle="1">
    <w:name w:val="p17"/>
    <w:basedOn w:val="66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3" w:customStyle="1">
    <w:name w:val="No Spacing Char"/>
    <w:link w:val="84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54">
    <w:name w:val="Body Text Indent"/>
    <w:basedOn w:val="666"/>
    <w:link w:val="855"/>
    <w:uiPriority w:val="99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55" w:customStyle="1">
    <w:name w:val="Основной текст с отступом Знак"/>
    <w:basedOn w:val="667"/>
    <w:link w:val="854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56" w:customStyle="1">
    <w:name w:val="Font Style16"/>
  </w:style>
  <w:style w:type="paragraph" w:styleId="857" w:customStyle="1">
    <w:name w:val="Default"/>
    <w:pPr>
      <w:spacing w:after="0" w:line="100" w:lineRule="atLeast"/>
    </w:pPr>
    <w:rPr>
      <w:rFonts w:ascii="Times New Roman" w:hAnsi="Times New Roman" w:eastAsia="Calibri" w:cs="Times New Roman"/>
      <w:color w:val="000000"/>
      <w:sz w:val="24"/>
      <w:szCs w:val="24"/>
      <w:lang w:eastAsia="zh-CN" w:bidi="hi-IN"/>
    </w:rPr>
  </w:style>
  <w:style w:type="paragraph" w:styleId="858" w:customStyle="1">
    <w:name w:val="p2"/>
    <w:basedOn w:val="666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>
    <w:name w:val="Normal (Web)"/>
    <w:basedOn w:val="666"/>
    <w:link w:val="860"/>
    <w:uiPriority w:val="99"/>
    <w:unhideWhenUsed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60" w:customStyle="1">
    <w:name w:val="Обычный (веб) Знак"/>
    <w:link w:val="85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culture8</cp:lastModifiedBy>
  <cp:revision>27</cp:revision>
  <dcterms:created xsi:type="dcterms:W3CDTF">2025-05-13T15:02:00Z</dcterms:created>
  <dcterms:modified xsi:type="dcterms:W3CDTF">2025-05-20T08:43:32Z</dcterms:modified>
</cp:coreProperties>
</file>