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4A0" w:firstRow="1" w:lastRow="0" w:firstColumn="1" w:lastColumn="0" w:noHBand="0" w:noVBand="1"/>
      </w:tblPr>
      <w:tblGrid>
        <w:gridCol w:w="3799"/>
        <w:gridCol w:w="1588"/>
        <w:gridCol w:w="3837"/>
      </w:tblGrid>
      <w:tr>
        <w:trPr>
          <w:trHeight w:val="1559"/>
          <w:jc w:val="center"/>
        </w:trPr>
        <w:tc>
          <w:tcPr>
            <w:tcW w:w="3799" w:type="dxa"/>
          </w:tcPr>
          <w:p>
            <w:pPr>
              <w:keepNext/>
              <w:ind w:left="-108" w:right="-107"/>
              <w:jc w:val="center"/>
              <w:outlineLvl w:val="2"/>
              <w:rPr>
                <w:rFonts w:ascii="Baltica Chv" w:hAnsi="Baltica Chv"/>
                <w:b/>
                <w:spacing w:val="40"/>
                <w:sz w:val="8"/>
              </w:rPr>
            </w:pPr>
          </w:p>
          <w:p>
            <w:pPr>
              <w:keepNext/>
              <w:ind w:left="-108" w:right="-107"/>
              <w:jc w:val="center"/>
              <w:outlineLvl w:val="2"/>
              <w:rPr>
                <w:rFonts w:ascii="Baltica Chv" w:hAnsi="Baltica Chv"/>
                <w:b/>
                <w:spacing w:val="40"/>
                <w:sz w:val="8"/>
              </w:rPr>
            </w:pPr>
          </w:p>
          <w:p>
            <w:pPr>
              <w:keepNext/>
              <w:ind w:left="-108" w:right="-102"/>
              <w:jc w:val="center"/>
              <w:outlineLvl w:val="2"/>
              <w:rPr>
                <w:rFonts w:ascii="Baltica Chv" w:hAnsi="Baltica Chv"/>
                <w:b/>
                <w:spacing w:val="40"/>
                <w:sz w:val="22"/>
              </w:rPr>
            </w:pPr>
            <w:r>
              <w:rPr>
                <w:b/>
                <w:spacing w:val="40"/>
                <w:sz w:val="22"/>
              </w:rPr>
              <w:t>Чувашская</w:t>
            </w:r>
            <w:r>
              <w:rPr>
                <w:rFonts w:ascii="Baltica Chv" w:hAnsi="Baltica Chv"/>
                <w:b/>
                <w:spacing w:val="40"/>
                <w:sz w:val="22"/>
              </w:rPr>
              <w:t xml:space="preserve"> </w:t>
            </w:r>
            <w:r>
              <w:rPr>
                <w:b/>
                <w:spacing w:val="40"/>
                <w:sz w:val="22"/>
              </w:rPr>
              <w:t>Республика</w:t>
            </w:r>
          </w:p>
          <w:p>
            <w:pPr>
              <w:overflowPunct/>
              <w:autoSpaceDE/>
              <w:adjustRightInd/>
              <w:rPr>
                <w:sz w:val="8"/>
                <w:szCs w:val="24"/>
              </w:rPr>
            </w:pPr>
          </w:p>
          <w:p>
            <w:pPr>
              <w:keepNext/>
              <w:ind w:left="-108" w:right="-102"/>
              <w:jc w:val="center"/>
              <w:outlineLvl w:val="2"/>
              <w:rPr>
                <w:rFonts w:ascii="Baltica Chv" w:hAnsi="Baltica Chv"/>
                <w:b/>
                <w:spacing w:val="40"/>
                <w:sz w:val="22"/>
              </w:rPr>
            </w:pPr>
            <w:r>
              <w:rPr>
                <w:b/>
                <w:spacing w:val="40"/>
                <w:sz w:val="22"/>
              </w:rPr>
              <w:t>Чебоксарское</w:t>
            </w:r>
            <w:r>
              <w:rPr>
                <w:rFonts w:ascii="Baltica Chv" w:hAnsi="Baltica Chv"/>
                <w:b/>
                <w:spacing w:val="40"/>
                <w:sz w:val="22"/>
              </w:rPr>
              <w:t xml:space="preserve"> </w:t>
            </w:r>
            <w:r>
              <w:rPr>
                <w:b/>
                <w:spacing w:val="40"/>
                <w:sz w:val="22"/>
              </w:rPr>
              <w:t>городское</w:t>
            </w:r>
          </w:p>
          <w:p>
            <w:pPr>
              <w:keepNext/>
              <w:ind w:left="-108" w:right="-102"/>
              <w:jc w:val="center"/>
              <w:outlineLvl w:val="2"/>
              <w:rPr>
                <w:rFonts w:ascii="Baltica Chv" w:hAnsi="Baltica Chv"/>
                <w:sz w:val="22"/>
              </w:rPr>
            </w:pPr>
            <w:r>
              <w:rPr>
                <w:b/>
                <w:spacing w:val="40"/>
                <w:sz w:val="22"/>
              </w:rPr>
              <w:t>Собрание</w:t>
            </w:r>
            <w:r>
              <w:rPr>
                <w:rFonts w:ascii="Baltica Chv" w:hAnsi="Baltica Chv"/>
                <w:b/>
                <w:spacing w:val="40"/>
                <w:sz w:val="22"/>
              </w:rPr>
              <w:t xml:space="preserve"> </w:t>
            </w:r>
            <w:r>
              <w:rPr>
                <w:b/>
                <w:spacing w:val="40"/>
                <w:sz w:val="22"/>
              </w:rPr>
              <w:t>депутатов</w:t>
            </w:r>
          </w:p>
          <w:p>
            <w:pPr>
              <w:overflowPunct/>
              <w:autoSpaceDE/>
              <w:adjustRightInd/>
              <w:ind w:left="-112" w:right="-102"/>
              <w:jc w:val="center"/>
              <w:rPr>
                <w:rFonts w:ascii="Baltica Chv" w:hAnsi="Baltica Chv"/>
                <w:b/>
                <w:sz w:val="22"/>
                <w:szCs w:val="24"/>
              </w:rPr>
            </w:pPr>
          </w:p>
          <w:p>
            <w:pPr>
              <w:keepNext/>
              <w:jc w:val="center"/>
              <w:outlineLvl w:val="3"/>
              <w:rPr>
                <w:rFonts w:ascii="Baltica Chv" w:hAnsi="Baltica Chv"/>
                <w:b/>
                <w:caps/>
                <w:spacing w:val="40"/>
                <w:sz w:val="22"/>
              </w:rPr>
            </w:pPr>
            <w:r>
              <w:rPr>
                <w:b/>
                <w:caps/>
                <w:spacing w:val="40"/>
                <w:sz w:val="22"/>
              </w:rPr>
              <w:t>РЕШЕНИЕ</w:t>
            </w:r>
          </w:p>
        </w:tc>
        <w:tc>
          <w:tcPr>
            <w:tcW w:w="1588" w:type="dxa"/>
            <w:hideMark/>
          </w:tcPr>
          <w:p>
            <w:pPr>
              <w:overflowPunct/>
              <w:autoSpaceDE/>
              <w:adjustRightInd/>
              <w:ind w:right="-1"/>
              <w:jc w:val="center"/>
              <w:rPr>
                <w:b/>
                <w:sz w:val="24"/>
                <w:szCs w:val="24"/>
              </w:rPr>
            </w:pPr>
            <w:r>
              <w:rPr>
                <w:noProof/>
                <w:sz w:val="24"/>
                <w:szCs w:val="24"/>
              </w:rPr>
              <w:drawing>
                <wp:inline distT="0" distB="0" distL="0" distR="0">
                  <wp:extent cx="59436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792480"/>
                          </a:xfrm>
                          <a:prstGeom prst="rect">
                            <a:avLst/>
                          </a:prstGeom>
                          <a:noFill/>
                          <a:ln>
                            <a:noFill/>
                          </a:ln>
                        </pic:spPr>
                      </pic:pic>
                    </a:graphicData>
                  </a:graphic>
                </wp:inline>
              </w:drawing>
            </w:r>
          </w:p>
        </w:tc>
        <w:tc>
          <w:tcPr>
            <w:tcW w:w="3837" w:type="dxa"/>
          </w:tcPr>
          <w:p>
            <w:pPr>
              <w:overflowPunct/>
              <w:autoSpaceDE/>
              <w:adjustRightInd/>
              <w:ind w:right="-102"/>
              <w:jc w:val="center"/>
              <w:rPr>
                <w:b/>
                <w:sz w:val="8"/>
                <w:szCs w:val="24"/>
              </w:rPr>
            </w:pPr>
          </w:p>
          <w:p>
            <w:pPr>
              <w:keepNext/>
              <w:ind w:left="-108" w:right="-107"/>
              <w:jc w:val="center"/>
              <w:outlineLvl w:val="2"/>
              <w:rPr>
                <w:rFonts w:ascii="Baltica Chv" w:hAnsi="Baltica Chv"/>
                <w:b/>
                <w:spacing w:val="40"/>
                <w:sz w:val="22"/>
              </w:rPr>
            </w:pPr>
            <w:r>
              <w:rPr>
                <w:b/>
                <w:spacing w:val="40"/>
                <w:sz w:val="22"/>
              </w:rPr>
              <w:t>Ч</w:t>
            </w:r>
            <w:r>
              <w:rPr>
                <w:rFonts w:ascii="Baltica Chv" w:hAnsi="Baltica Chv"/>
                <w:b/>
                <w:spacing w:val="40"/>
                <w:sz w:val="22"/>
              </w:rPr>
              <w:t>=</w:t>
            </w:r>
            <w:r>
              <w:rPr>
                <w:b/>
                <w:spacing w:val="40"/>
                <w:sz w:val="22"/>
              </w:rPr>
              <w:t>ваш</w:t>
            </w:r>
            <w:r>
              <w:rPr>
                <w:rFonts w:ascii="Baltica Chv" w:hAnsi="Baltica Chv"/>
                <w:b/>
                <w:spacing w:val="40"/>
                <w:sz w:val="22"/>
              </w:rPr>
              <w:t xml:space="preserve"> </w:t>
            </w:r>
            <w:r>
              <w:rPr>
                <w:b/>
                <w:spacing w:val="40"/>
                <w:sz w:val="22"/>
              </w:rPr>
              <w:t>Республики</w:t>
            </w:r>
          </w:p>
          <w:p>
            <w:pPr>
              <w:overflowPunct/>
              <w:autoSpaceDE/>
              <w:adjustRightInd/>
              <w:rPr>
                <w:rFonts w:ascii="Baltica Chv" w:hAnsi="Baltica Chv"/>
                <w:b/>
                <w:spacing w:val="40"/>
                <w:sz w:val="8"/>
                <w:szCs w:val="24"/>
              </w:rPr>
            </w:pPr>
          </w:p>
          <w:p>
            <w:pPr>
              <w:keepNext/>
              <w:ind w:left="-108" w:right="-107"/>
              <w:jc w:val="center"/>
              <w:outlineLvl w:val="2"/>
              <w:rPr>
                <w:rFonts w:ascii="Baltica Chv" w:hAnsi="Baltica Chv"/>
                <w:b/>
                <w:spacing w:val="40"/>
                <w:sz w:val="22"/>
              </w:rPr>
            </w:pPr>
            <w:r>
              <w:rPr>
                <w:b/>
                <w:spacing w:val="40"/>
                <w:sz w:val="22"/>
              </w:rPr>
              <w:t>Шупашкар</w:t>
            </w:r>
            <w:r>
              <w:rPr>
                <w:rFonts w:ascii="Baltica Chv" w:hAnsi="Baltica Chv"/>
                <w:b/>
                <w:spacing w:val="40"/>
                <w:sz w:val="22"/>
              </w:rPr>
              <w:t xml:space="preserve"> </w:t>
            </w:r>
            <w:r>
              <w:rPr>
                <w:b/>
                <w:spacing w:val="40"/>
                <w:sz w:val="22"/>
              </w:rPr>
              <w:t>хулин</w:t>
            </w:r>
          </w:p>
          <w:p>
            <w:pPr>
              <w:keepNext/>
              <w:ind w:left="-108" w:right="-107"/>
              <w:jc w:val="center"/>
              <w:outlineLvl w:val="2"/>
              <w:rPr>
                <w:rFonts w:ascii="Baltica Chv" w:hAnsi="Baltica Chv"/>
                <w:b/>
                <w:spacing w:val="40"/>
                <w:sz w:val="22"/>
              </w:rPr>
            </w:pPr>
            <w:r>
              <w:rPr>
                <w:b/>
                <w:spacing w:val="40"/>
                <w:sz w:val="22"/>
              </w:rPr>
              <w:t>депутатсен</w:t>
            </w:r>
            <w:r>
              <w:rPr>
                <w:rFonts w:ascii="Baltica Chv" w:hAnsi="Baltica Chv"/>
                <w:b/>
                <w:spacing w:val="40"/>
                <w:sz w:val="22"/>
              </w:rPr>
              <w:t xml:space="preserve"> </w:t>
            </w:r>
            <w:r>
              <w:rPr>
                <w:b/>
                <w:spacing w:val="40"/>
                <w:sz w:val="22"/>
              </w:rPr>
              <w:t>Пух</w:t>
            </w:r>
            <w:r>
              <w:rPr>
                <w:rFonts w:ascii="Baltica Chv" w:hAnsi="Baltica Chv"/>
                <w:b/>
                <w:spacing w:val="40"/>
                <w:sz w:val="22"/>
              </w:rPr>
              <w:t>=</w:t>
            </w:r>
            <w:r>
              <w:rPr>
                <w:b/>
                <w:spacing w:val="40"/>
                <w:sz w:val="22"/>
              </w:rPr>
              <w:t>в</w:t>
            </w:r>
            <w:r>
              <w:rPr>
                <w:rFonts w:ascii="Baltica Chv" w:hAnsi="Baltica Chv"/>
                <w:b/>
                <w:spacing w:val="40"/>
                <w:sz w:val="22"/>
              </w:rPr>
              <w:t>\</w:t>
            </w:r>
          </w:p>
          <w:p>
            <w:pPr>
              <w:overflowPunct/>
              <w:autoSpaceDE/>
              <w:adjustRightInd/>
              <w:jc w:val="center"/>
              <w:rPr>
                <w:rFonts w:ascii="Baltica Chv" w:hAnsi="Baltica Chv"/>
                <w:b/>
                <w:spacing w:val="40"/>
                <w:sz w:val="22"/>
                <w:szCs w:val="24"/>
              </w:rPr>
            </w:pPr>
          </w:p>
          <w:p>
            <w:pPr>
              <w:keepNext/>
              <w:ind w:left="-108" w:right="-102"/>
              <w:jc w:val="center"/>
              <w:outlineLvl w:val="2"/>
              <w:rPr>
                <w:b/>
                <w:sz w:val="22"/>
              </w:rPr>
            </w:pPr>
            <w:r>
              <w:rPr>
                <w:b/>
                <w:sz w:val="22"/>
              </w:rPr>
              <w:t>ЙЫШ</w:t>
            </w:r>
            <w:r>
              <w:rPr>
                <w:rFonts w:ascii="Baltica Chv" w:hAnsi="Baltica Chv"/>
                <w:b/>
                <w:sz w:val="22"/>
              </w:rPr>
              <w:t>+</w:t>
            </w:r>
            <w:r>
              <w:rPr>
                <w:b/>
                <w:sz w:val="22"/>
              </w:rPr>
              <w:t>НУ</w:t>
            </w:r>
          </w:p>
          <w:p>
            <w:pPr>
              <w:keepNext/>
              <w:ind w:left="-108" w:right="-102"/>
              <w:jc w:val="center"/>
              <w:outlineLvl w:val="2"/>
              <w:rPr>
                <w:b/>
                <w:sz w:val="22"/>
              </w:rPr>
            </w:pPr>
          </w:p>
          <w:p>
            <w:pPr>
              <w:keepNext/>
              <w:ind w:left="-108" w:right="-102"/>
              <w:jc w:val="center"/>
              <w:outlineLvl w:val="2"/>
              <w:rPr>
                <w:b/>
                <w:spacing w:val="40"/>
                <w:sz w:val="22"/>
              </w:rPr>
            </w:pPr>
          </w:p>
        </w:tc>
      </w:tr>
    </w:tbl>
    <w:p>
      <w:pPr>
        <w:overflowPunct/>
        <w:autoSpaceDE/>
        <w:adjustRightInd/>
        <w:ind w:right="-1"/>
        <w:jc w:val="center"/>
        <w:rPr>
          <w:szCs w:val="24"/>
        </w:rPr>
      </w:pPr>
      <w:r>
        <w:rPr>
          <w:szCs w:val="24"/>
        </w:rPr>
        <w:t>4 марта 2025 года № 1926</w:t>
      </w:r>
      <w:bookmarkStart w:id="0" w:name="_GoBack"/>
      <w:bookmarkEnd w:id="0"/>
    </w:p>
    <w:p>
      <w:pPr>
        <w:overflowPunct/>
        <w:autoSpaceDE/>
        <w:adjustRightInd/>
        <w:ind w:right="-1"/>
        <w:jc w:val="center"/>
        <w:rPr>
          <w:szCs w:val="24"/>
        </w:rPr>
      </w:pPr>
    </w:p>
    <w:p>
      <w:pPr>
        <w:spacing w:after="120"/>
        <w:ind w:right="4677"/>
        <w:jc w:val="both"/>
        <w:rPr>
          <w:szCs w:val="28"/>
        </w:rPr>
      </w:pPr>
      <w:r>
        <w:rPr>
          <w:szCs w:val="28"/>
        </w:rPr>
        <w:t>О внесении изменений в решение Чебоксарского городского Собрания депутатов от 27 октября 2015 года                       № 49 «О Положении о проведении конкурса на замещение вакантной должности муниципальной службы в органах местного самоуправления города Чебоксары»</w:t>
      </w:r>
    </w:p>
    <w:p>
      <w:pPr>
        <w:ind w:firstLine="709"/>
        <w:jc w:val="both"/>
        <w:rPr>
          <w:szCs w:val="28"/>
        </w:rPr>
      </w:pPr>
    </w:p>
    <w:p>
      <w:pPr>
        <w:pStyle w:val="a7"/>
        <w:spacing w:line="360" w:lineRule="auto"/>
        <w:ind w:firstLine="709"/>
        <w:jc w:val="both"/>
        <w:rPr>
          <w:rFonts w:ascii="Times New Roman" w:hAnsi="Times New Roman" w:cs="Times New Roman"/>
          <w:sz w:val="28"/>
        </w:rPr>
      </w:pPr>
      <w:r>
        <w:rPr>
          <w:rFonts w:ascii="Times New Roman" w:hAnsi="Times New Roman" w:cs="Times New Roman"/>
          <w:sz w:val="28"/>
        </w:rPr>
        <w:t>На основании Федеральных законов от 30 сентября 2024 года                             № 338</w:t>
      </w:r>
      <w:r>
        <w:rPr>
          <w:rFonts w:ascii="Times New Roman" w:hAnsi="Times New Roman" w:cs="Times New Roman"/>
          <w:sz w:val="28"/>
        </w:rPr>
        <w:sym w:font="Symbol" w:char="F02D"/>
      </w:r>
      <w:r>
        <w:rPr>
          <w:rFonts w:ascii="Times New Roman" w:hAnsi="Times New Roman" w:cs="Times New Roman"/>
          <w:sz w:val="28"/>
        </w:rPr>
        <w:t>ФЗ «О внесении изменения в статью 16 Федерального закона                                         «О муниципальной службе в Российской Федерации», от 2 марта 2007 года № 25</w:t>
      </w:r>
      <w:r>
        <w:rPr>
          <w:rFonts w:ascii="Times New Roman" w:hAnsi="Times New Roman" w:cs="Times New Roman"/>
          <w:sz w:val="28"/>
        </w:rPr>
        <w:sym w:font="Symbol" w:char="F02D"/>
      </w:r>
      <w:r>
        <w:rPr>
          <w:rFonts w:ascii="Times New Roman" w:hAnsi="Times New Roman" w:cs="Times New Roman"/>
          <w:sz w:val="28"/>
        </w:rPr>
        <w:t>ФЗ «О муниципальной службе в Российской Федерации», от                               12 декабря 2023 года № 565</w:t>
      </w:r>
      <w:r>
        <w:rPr>
          <w:rFonts w:ascii="Times New Roman" w:hAnsi="Times New Roman" w:cs="Times New Roman"/>
          <w:sz w:val="28"/>
        </w:rPr>
        <w:sym w:font="Symbol" w:char="F02D"/>
      </w:r>
      <w:r>
        <w:rPr>
          <w:rFonts w:ascii="Times New Roman" w:hAnsi="Times New Roman" w:cs="Times New Roman"/>
          <w:sz w:val="28"/>
        </w:rPr>
        <w:t xml:space="preserve">ФЗ «О занятости населения в Российской Федерации», Указа Президента Российской Федерации от 10 октября 2024 года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Постановления Правительства Российской Федерации от 30 мая 2024 года                      № 709 «О порядке выполнения работодателями квоты для приема на работу инвалидов», руководствуясь статьей 31 Устава городского округа город Чебоксары столицы Чувашской Республики, принятого решением Чебоксарского городского Собрания депутатов от 30 ноября 2005 года № 40, </w:t>
      </w:r>
    </w:p>
    <w:p>
      <w:pPr>
        <w:pStyle w:val="a7"/>
        <w:ind w:firstLine="709"/>
        <w:jc w:val="both"/>
        <w:rPr>
          <w:rFonts w:ascii="Times New Roman" w:hAnsi="Times New Roman" w:cs="Times New Roman"/>
          <w:sz w:val="28"/>
        </w:rPr>
      </w:pPr>
    </w:p>
    <w:p>
      <w:pPr>
        <w:pStyle w:val="a7"/>
        <w:ind w:firstLine="709"/>
        <w:jc w:val="center"/>
        <w:rPr>
          <w:rFonts w:ascii="Times New Roman" w:hAnsi="Times New Roman" w:cs="Times New Roman"/>
          <w:sz w:val="28"/>
        </w:rPr>
      </w:pPr>
      <w:r>
        <w:rPr>
          <w:rFonts w:ascii="Times New Roman" w:hAnsi="Times New Roman" w:cs="Times New Roman"/>
          <w:sz w:val="28"/>
        </w:rPr>
        <w:t>Чебоксарское городское Собрание депутатов</w:t>
      </w:r>
    </w:p>
    <w:p>
      <w:pPr>
        <w:pStyle w:val="a7"/>
        <w:ind w:firstLine="709"/>
        <w:jc w:val="both"/>
        <w:rPr>
          <w:rFonts w:ascii="Times New Roman" w:hAnsi="Times New Roman" w:cs="Times New Roman"/>
          <w:sz w:val="16"/>
        </w:rPr>
      </w:pPr>
    </w:p>
    <w:p>
      <w:pPr>
        <w:jc w:val="center"/>
        <w:rPr>
          <w:szCs w:val="28"/>
        </w:rPr>
      </w:pPr>
      <w:r>
        <w:rPr>
          <w:szCs w:val="28"/>
        </w:rPr>
        <w:t>Р Е Ш И Л О:</w:t>
      </w:r>
    </w:p>
    <w:p>
      <w:pPr>
        <w:jc w:val="center"/>
        <w:rPr>
          <w:sz w:val="14"/>
          <w:szCs w:val="28"/>
        </w:rPr>
      </w:pPr>
    </w:p>
    <w:p>
      <w:pPr>
        <w:spacing w:line="360" w:lineRule="auto"/>
        <w:ind w:firstLine="709"/>
        <w:jc w:val="both"/>
        <w:rPr>
          <w:rFonts w:eastAsiaTheme="minorHAnsi"/>
          <w:szCs w:val="22"/>
          <w:lang w:eastAsia="en-US"/>
        </w:rPr>
      </w:pPr>
      <w:r>
        <w:rPr>
          <w:rFonts w:eastAsiaTheme="minorHAnsi"/>
          <w:szCs w:val="22"/>
          <w:lang w:eastAsia="en-US"/>
        </w:rPr>
        <w:t xml:space="preserve">1. Внести в решение Чебоксарского городского Собрания депутатов от 27 октября 2015 года № 49 «О Положении о проведении конкурса на </w:t>
      </w:r>
      <w:r>
        <w:rPr>
          <w:rFonts w:eastAsiaTheme="minorHAnsi"/>
          <w:szCs w:val="22"/>
          <w:lang w:eastAsia="en-US"/>
        </w:rPr>
        <w:lastRenderedPageBreak/>
        <w:t xml:space="preserve">замещение вакантной должности муниципальной службы в органах местного самоуправления города Чебоксары» (с изменениями от 14 апреля 2016 года </w:t>
      </w:r>
      <w:hyperlink r:id="rId7" w:history="1">
        <w:r>
          <w:rPr>
            <w:rFonts w:eastAsiaTheme="minorHAnsi"/>
            <w:szCs w:val="22"/>
            <w:lang w:eastAsia="en-US"/>
          </w:rPr>
          <w:t>№ 234</w:t>
        </w:r>
      </w:hyperlink>
      <w:r>
        <w:rPr>
          <w:rFonts w:eastAsiaTheme="minorHAnsi"/>
          <w:szCs w:val="22"/>
          <w:lang w:eastAsia="en-US"/>
        </w:rPr>
        <w:t xml:space="preserve">, от 26 сентября 2017 года </w:t>
      </w:r>
      <w:hyperlink r:id="rId8" w:history="1">
        <w:r>
          <w:rPr>
            <w:rFonts w:eastAsiaTheme="minorHAnsi"/>
            <w:szCs w:val="22"/>
            <w:lang w:eastAsia="en-US"/>
          </w:rPr>
          <w:t>№ 891</w:t>
        </w:r>
      </w:hyperlink>
      <w:r>
        <w:rPr>
          <w:rFonts w:eastAsiaTheme="minorHAnsi"/>
          <w:szCs w:val="22"/>
          <w:lang w:eastAsia="en-US"/>
        </w:rPr>
        <w:t xml:space="preserve">, от 15 мая 2018 года </w:t>
      </w:r>
      <w:hyperlink r:id="rId9" w:history="1">
        <w:r>
          <w:rPr>
            <w:rFonts w:eastAsiaTheme="minorHAnsi"/>
            <w:szCs w:val="22"/>
            <w:lang w:eastAsia="en-US"/>
          </w:rPr>
          <w:t>№ 1196</w:t>
        </w:r>
      </w:hyperlink>
      <w:r>
        <w:rPr>
          <w:rFonts w:eastAsiaTheme="minorHAnsi"/>
          <w:szCs w:val="22"/>
          <w:lang w:eastAsia="en-US"/>
        </w:rPr>
        <w:t xml:space="preserve">, от 23 июня 2020 года № 2152, от 25 марта 2021 года </w:t>
      </w:r>
      <w:hyperlink r:id="rId10" w:history="1">
        <w:r>
          <w:rPr>
            <w:rFonts w:eastAsiaTheme="minorHAnsi"/>
            <w:szCs w:val="22"/>
            <w:lang w:eastAsia="en-US"/>
          </w:rPr>
          <w:t>№ 172</w:t>
        </w:r>
      </w:hyperlink>
      <w:r>
        <w:rPr>
          <w:rFonts w:eastAsiaTheme="minorHAnsi"/>
          <w:szCs w:val="22"/>
          <w:lang w:eastAsia="en-US"/>
        </w:rPr>
        <w:t xml:space="preserve">, от 8 июня 2021 года                      № 327, от 9 сентября 2022 года № 903, от 17 января 2023 года № 1045, от 26 октября 2023 года № 1415, от 5 марта 2024 года № 1531, от 19 декабря 2024 года № 1869) изменение, заменив в преамбуле решения слова «муниципального образования города Чебоксары </w:t>
      </w:r>
      <w:r>
        <w:rPr>
          <w:rFonts w:eastAsiaTheme="minorHAnsi"/>
          <w:szCs w:val="22"/>
          <w:lang w:eastAsia="en-US"/>
        </w:rPr>
        <w:sym w:font="Symbol" w:char="F02D"/>
      </w:r>
      <w:r>
        <w:rPr>
          <w:rFonts w:eastAsiaTheme="minorHAnsi"/>
          <w:szCs w:val="22"/>
          <w:lang w:eastAsia="en-US"/>
        </w:rPr>
        <w:t xml:space="preserve"> столицы Чувашской Республики» словами  «городского округа город Чебоксары Чувашской Республики».</w:t>
      </w:r>
    </w:p>
    <w:p>
      <w:pPr>
        <w:spacing w:line="360" w:lineRule="auto"/>
        <w:ind w:firstLine="709"/>
        <w:jc w:val="both"/>
        <w:rPr>
          <w:szCs w:val="28"/>
        </w:rPr>
      </w:pPr>
      <w:r>
        <w:rPr>
          <w:rFonts w:eastAsiaTheme="minorHAnsi"/>
          <w:szCs w:val="22"/>
          <w:lang w:eastAsia="en-US"/>
        </w:rPr>
        <w:t>2. Настоящее решение вступает в силу</w:t>
      </w:r>
      <w:r>
        <w:rPr>
          <w:szCs w:val="28"/>
        </w:rPr>
        <w:t xml:space="preserve"> со дня его официального опубликования.</w:t>
      </w:r>
    </w:p>
    <w:p>
      <w:pPr>
        <w:spacing w:line="360" w:lineRule="auto"/>
        <w:ind w:firstLine="709"/>
        <w:jc w:val="both"/>
        <w:rPr>
          <w:szCs w:val="28"/>
        </w:rPr>
      </w:pPr>
      <w:r>
        <w:rPr>
          <w:szCs w:val="28"/>
        </w:rPr>
        <w:t>3.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информационно-телекоммуникационной сети «Интернет».</w:t>
      </w:r>
    </w:p>
    <w:p>
      <w:pPr>
        <w:spacing w:line="360" w:lineRule="auto"/>
        <w:ind w:firstLine="709"/>
        <w:jc w:val="both"/>
        <w:rPr>
          <w:szCs w:val="28"/>
        </w:rPr>
      </w:pPr>
      <w:r>
        <w:rPr>
          <w:rFonts w:eastAsiaTheme="minorHAnsi"/>
          <w:szCs w:val="22"/>
          <w:lang w:eastAsia="en-US"/>
        </w:rPr>
        <w:t>4.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(Н.Ю. Евсюкова)</w:t>
      </w:r>
      <w:r>
        <w:rPr>
          <w:szCs w:val="28"/>
        </w:rPr>
        <w:t>.</w:t>
      </w:r>
    </w:p>
    <w:p>
      <w:pPr>
        <w:spacing w:line="360" w:lineRule="auto"/>
        <w:ind w:firstLine="709"/>
        <w:jc w:val="both"/>
        <w:rPr>
          <w:szCs w:val="28"/>
        </w:rPr>
      </w:pPr>
    </w:p>
    <w:p>
      <w:pPr>
        <w:spacing w:line="360" w:lineRule="auto"/>
        <w:ind w:firstLine="709"/>
        <w:jc w:val="both"/>
        <w:rPr>
          <w:szCs w:val="28"/>
        </w:rPr>
      </w:pPr>
    </w:p>
    <w:tbl>
      <w:tblPr>
        <w:tblW w:w="9532" w:type="dxa"/>
        <w:tblInd w:w="-34" w:type="dxa"/>
        <w:tblLook w:val="04A0" w:firstRow="1" w:lastRow="0" w:firstColumn="1" w:lastColumn="0" w:noHBand="0" w:noVBand="1"/>
      </w:tblPr>
      <w:tblGrid>
        <w:gridCol w:w="4537"/>
        <w:gridCol w:w="283"/>
        <w:gridCol w:w="4712"/>
      </w:tblGrid>
      <w:tr>
        <w:tc>
          <w:tcPr>
            <w:tcW w:w="4537" w:type="dxa"/>
          </w:tcPr>
          <w:p>
            <w:pPr>
              <w:tabs>
                <w:tab w:val="left" w:pos="993"/>
                <w:tab w:val="left" w:pos="7371"/>
              </w:tabs>
              <w:ind w:left="-74"/>
              <w:rPr>
                <w:szCs w:val="28"/>
              </w:rPr>
            </w:pPr>
            <w:r>
              <w:rPr>
                <w:szCs w:val="28"/>
              </w:rPr>
              <w:t>Председатель Чебоксарского городского Собрания депутатов</w:t>
            </w:r>
          </w:p>
          <w:p>
            <w:pPr>
              <w:tabs>
                <w:tab w:val="left" w:pos="993"/>
                <w:tab w:val="left" w:pos="7371"/>
              </w:tabs>
              <w:ind w:left="-74"/>
              <w:rPr>
                <w:szCs w:val="28"/>
              </w:rPr>
            </w:pPr>
          </w:p>
          <w:p>
            <w:pPr>
              <w:tabs>
                <w:tab w:val="left" w:pos="993"/>
                <w:tab w:val="left" w:pos="7371"/>
              </w:tabs>
              <w:spacing w:line="264" w:lineRule="auto"/>
              <w:ind w:left="-74"/>
              <w:rPr>
                <w:szCs w:val="28"/>
              </w:rPr>
            </w:pPr>
            <w:r>
              <w:rPr>
                <w:szCs w:val="28"/>
              </w:rPr>
              <w:t>________________ Е.Н. Кадышев</w:t>
            </w:r>
          </w:p>
        </w:tc>
        <w:tc>
          <w:tcPr>
            <w:tcW w:w="283" w:type="dxa"/>
          </w:tcPr>
          <w:p>
            <w:pPr>
              <w:tabs>
                <w:tab w:val="left" w:pos="993"/>
                <w:tab w:val="left" w:pos="7371"/>
              </w:tabs>
              <w:spacing w:line="264" w:lineRule="auto"/>
              <w:ind w:left="-74"/>
              <w:rPr>
                <w:szCs w:val="28"/>
              </w:rPr>
            </w:pPr>
          </w:p>
        </w:tc>
        <w:tc>
          <w:tcPr>
            <w:tcW w:w="4712" w:type="dxa"/>
          </w:tcPr>
          <w:p>
            <w:pPr>
              <w:tabs>
                <w:tab w:val="left" w:pos="993"/>
                <w:tab w:val="left" w:pos="4462"/>
                <w:tab w:val="left" w:pos="7371"/>
              </w:tabs>
              <w:ind w:left="-74"/>
              <w:rPr>
                <w:szCs w:val="28"/>
              </w:rPr>
            </w:pPr>
            <w:r>
              <w:rPr>
                <w:szCs w:val="28"/>
              </w:rPr>
              <w:t xml:space="preserve">    Глава города Чебоксары                                                                 </w:t>
            </w:r>
          </w:p>
          <w:p>
            <w:pPr>
              <w:tabs>
                <w:tab w:val="left" w:pos="993"/>
                <w:tab w:val="left" w:pos="4462"/>
                <w:tab w:val="left" w:pos="7371"/>
              </w:tabs>
              <w:ind w:left="-74"/>
              <w:rPr>
                <w:szCs w:val="28"/>
              </w:rPr>
            </w:pPr>
          </w:p>
          <w:p>
            <w:pPr>
              <w:tabs>
                <w:tab w:val="left" w:pos="993"/>
                <w:tab w:val="left" w:pos="4462"/>
                <w:tab w:val="left" w:pos="7371"/>
              </w:tabs>
              <w:ind w:left="-74"/>
              <w:rPr>
                <w:szCs w:val="28"/>
              </w:rPr>
            </w:pPr>
          </w:p>
          <w:p>
            <w:pPr>
              <w:tabs>
                <w:tab w:val="left" w:pos="993"/>
                <w:tab w:val="left" w:pos="4462"/>
                <w:tab w:val="left" w:pos="7371"/>
              </w:tabs>
              <w:spacing w:line="264" w:lineRule="auto"/>
              <w:ind w:left="-74"/>
              <w:rPr>
                <w:szCs w:val="28"/>
              </w:rPr>
            </w:pPr>
            <w:r>
              <w:rPr>
                <w:szCs w:val="28"/>
              </w:rPr>
              <w:t xml:space="preserve">    ________________В.А. Доброхотов</w:t>
            </w:r>
          </w:p>
        </w:tc>
      </w:tr>
    </w:tbl>
    <w:p>
      <w:pPr>
        <w:ind w:firstLine="709"/>
        <w:jc w:val="both"/>
        <w:rPr>
          <w:szCs w:val="28"/>
        </w:rPr>
      </w:pPr>
    </w:p>
    <w:sectPr>
      <w:headerReference w:type="default" r:id="rId11"/>
      <w:pgSz w:w="11906" w:h="16838"/>
      <w:pgMar w:top="1134" w:right="850" w:bottom="709"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ltica Chv">
    <w:panose1 w:val="00000000000000000000"/>
    <w:charset w:val="00"/>
    <w:family w:val="auto"/>
    <w:pitch w:val="variable"/>
    <w:sig w:usb0="00000207"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120255"/>
      <w:docPartObj>
        <w:docPartGallery w:val="Page Numbers (Top of Page)"/>
        <w:docPartUnique/>
      </w:docPartObj>
    </w:sdtPr>
    <w:sdtContent>
      <w:p>
        <w:pPr>
          <w:pStyle w:val="a3"/>
          <w:jc w:val="center"/>
        </w:pPr>
        <w:r>
          <w:fldChar w:fldCharType="begin"/>
        </w:r>
        <w:r>
          <w:instrText>PAGE   \* MERGEFORMAT</w:instrText>
        </w:r>
        <w:r>
          <w:fldChar w:fldCharType="separate"/>
        </w:r>
        <w:r>
          <w:rPr>
            <w:noProof/>
          </w:rPr>
          <w:t>2</w:t>
        </w:r>
        <w:r>
          <w:fldChar w:fldCharType="end"/>
        </w:r>
      </w:p>
    </w:sdtContent>
  </w:sdt>
  <w:p>
    <w:pPr>
      <w:pStyle w:val="a3"/>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DDACD-BAA5-4723-8C96-88FCF5ED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rPr>
      <w:rFonts w:ascii="Times New Roman" w:eastAsia="Times New Roman" w:hAnsi="Times New Roman" w:cs="Times New Roman"/>
      <w:sz w:val="28"/>
      <w:szCs w:val="20"/>
      <w:lang w:eastAsia="ru-RU"/>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rPr>
      <w:rFonts w:ascii="Times New Roman" w:eastAsia="Times New Roman" w:hAnsi="Times New Roman" w:cs="Times New Roman"/>
      <w:sz w:val="28"/>
      <w:szCs w:val="20"/>
      <w:lang w:eastAsia="ru-RU"/>
    </w:rPr>
  </w:style>
  <w:style w:type="paragraph" w:styleId="a7">
    <w:name w:val="No Spacing"/>
    <w:link w:val="a8"/>
    <w:uiPriority w:val="1"/>
    <w:qFormat/>
    <w:pPr>
      <w:spacing w:after="0" w:line="240" w:lineRule="auto"/>
    </w:pPr>
  </w:style>
  <w:style w:type="table" w:styleId="a9">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basedOn w:val="a0"/>
    <w:link w:val="a7"/>
    <w:uiPriority w:val="1"/>
    <w:locked/>
  </w:style>
  <w:style w:type="character" w:customStyle="1" w:styleId="aa">
    <w:name w:val="Цветовое выделение"/>
    <w:uiPriority w:val="99"/>
    <w:rPr>
      <w:b/>
      <w:bCs w:val="0"/>
      <w:color w:val="26282F"/>
    </w:rPr>
  </w:style>
  <w:style w:type="paragraph" w:styleId="ab">
    <w:name w:val="Balloon Text"/>
    <w:basedOn w:val="a"/>
    <w:link w:val="ac"/>
    <w:uiPriority w:val="99"/>
    <w:semiHidden/>
    <w:unhideWhenUsed/>
    <w:rPr>
      <w:rFonts w:ascii="Segoe UI" w:hAnsi="Segoe UI" w:cs="Segoe UI"/>
      <w:sz w:val="18"/>
      <w:szCs w:val="18"/>
    </w:rPr>
  </w:style>
  <w:style w:type="character" w:customStyle="1" w:styleId="ac">
    <w:name w:val="Текст выноски Знак"/>
    <w:basedOn w:val="a0"/>
    <w:link w:val="ab"/>
    <w:uiPriority w:val="99"/>
    <w:semiHidden/>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2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7837CB3DA3BB5F4C98F08A4BC5E72F91F6228DB5A3D991D3959542B2EB2433627CC11EAD80AC630800398F28AC0A8E2E4330E488D8E01F7034FFZ0p8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87837CB3DA3BB5F4C98F08A4BC5E72F91F6228DB4A0D693D9959542B2EB2433627CC11EAD80AC630800398F28AC0A8E2E4330E488D8E01F7034FFZ0p8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60930CCC7B3C7319115A41DD37F56B643056D2C6D8FF87211679575E07BC034DE89F6EAB6DD71EB6F22C6DC0898F7A10716323B23DCF103CFD928815D3k1I" TargetMode="External"/><Relationship Id="rId4" Type="http://schemas.openxmlformats.org/officeDocument/2006/relationships/footnotes" Target="footnotes.xml"/><Relationship Id="rId9" Type="http://schemas.openxmlformats.org/officeDocument/2006/relationships/hyperlink" Target="consultantplus://offline/ref=287837CB3DA3BB5F4C98F08A4BC5E72F91F6228DBDA4DC9BDB96C848BAB2283165739E09AAC9A0620800398A26F30F9B3F1B3DE290C6E2036C36FD0AZEp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gcheb_chgsd4</dc:creator>
  <cp:keywords/>
  <dc:description/>
  <cp:lastModifiedBy>gcheb_chgsd4</cp:lastModifiedBy>
  <cp:revision>9</cp:revision>
  <cp:lastPrinted>2025-03-11T12:11:00Z</cp:lastPrinted>
  <dcterms:created xsi:type="dcterms:W3CDTF">2025-02-07T06:59:00Z</dcterms:created>
  <dcterms:modified xsi:type="dcterms:W3CDTF">2025-03-12T07:36:00Z</dcterms:modified>
</cp:coreProperties>
</file>