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5365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5214C6" w:rsidRDefault="005214C6" w:rsidP="005214C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5214C6" w:rsidRDefault="005214C6" w:rsidP="00521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37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5214C6" w:rsidTr="005214C6">
        <w:trPr>
          <w:trHeight w:hRule="exact" w:val="573"/>
        </w:trPr>
        <w:tc>
          <w:tcPr>
            <w:tcW w:w="15618" w:type="dxa"/>
            <w:gridSpan w:val="7"/>
          </w:tcPr>
          <w:p w:rsidR="005214C6" w:rsidRDefault="005214C6" w:rsidP="005214C6"/>
        </w:tc>
      </w:tr>
      <w:tr w:rsidR="005214C6" w:rsidTr="005214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5214C6" w:rsidTr="005214C6">
        <w:trPr>
          <w:trHeight w:hRule="exact" w:val="43"/>
        </w:trPr>
        <w:tc>
          <w:tcPr>
            <w:tcW w:w="15618" w:type="dxa"/>
            <w:gridSpan w:val="7"/>
          </w:tcPr>
          <w:p w:rsidR="005214C6" w:rsidRDefault="005214C6" w:rsidP="005214C6"/>
        </w:tc>
      </w:tr>
      <w:tr w:rsidR="005214C6" w:rsidTr="005214C6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5214C6" w:rsidTr="005214C6">
        <w:trPr>
          <w:trHeight w:hRule="exact" w:val="43"/>
        </w:trPr>
        <w:tc>
          <w:tcPr>
            <w:tcW w:w="15618" w:type="dxa"/>
            <w:gridSpan w:val="7"/>
          </w:tcPr>
          <w:p w:rsidR="005214C6" w:rsidRDefault="005214C6" w:rsidP="005214C6"/>
        </w:tc>
      </w:tr>
      <w:tr w:rsidR="005214C6" w:rsidTr="005214C6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Борьба с гепатитом С и минимизация рисков распространения данного заболевания (Чувашская Республика - Чувашия)</w:t>
            </w:r>
          </w:p>
        </w:tc>
      </w:tr>
      <w:tr w:rsidR="005214C6" w:rsidTr="005214C6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5214C6" w:rsidTr="005214C6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гепатитом С и минимизация рисков распространения данного заболевания (Чувашская Республика - Чувашия)</w:t>
            </w:r>
          </w:p>
        </w:tc>
      </w:tr>
      <w:tr w:rsidR="005214C6" w:rsidTr="005214C6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гепатитом С и минимизация рисков распространения данного заболевания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5214C6" w:rsidTr="005214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Реализация мероприятий, направленных на борьбу с гепатитом С</w:t>
            </w:r>
          </w:p>
        </w:tc>
      </w:tr>
      <w:tr w:rsidR="005214C6" w:rsidTr="005214C6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5214C6" w:rsidTr="005214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Игнатьева О.О.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5214C6" w:rsidTr="005214C6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Митина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организации медицинской помощи взрослому населению</w:t>
            </w:r>
          </w:p>
        </w:tc>
      </w:tr>
      <w:tr w:rsidR="005214C6" w:rsidTr="005214C6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5214C6" w:rsidTr="005214C6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214C6" w:rsidRDefault="005214C6" w:rsidP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5214C6" w:rsidRDefault="005214C6" w:rsidP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5214C6" w:rsidRDefault="005214C6" w:rsidP="005214C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E46D6C" w:rsidRDefault="00E46D6C">
      <w:pPr>
        <w:sectPr w:rsidR="00E46D6C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E46D6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пациентов, излечившихся от хронического вирусного гепатита С, от обеспеченных лекарственными препаратами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84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3,8100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3,8200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84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4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Охват скринингом на наличие антител к вирусному гепатиту С лиц из групп повышенного риска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3,8800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7,7500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8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077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1.5.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4,0900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5,1000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8,5000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10,5000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13,0000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Игнатьева О.О.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063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пациентов, излечившихся от хронического вирусного гепатита С, от обеспеченных лекарственными препаратами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7,8000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23,4000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35,9000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78,0000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85,8000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2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2,9000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3,5000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3,8200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Охват скринингом на наличие антител к вирусному гепатиту С лиц из групп повышенного риска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2,4000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5,4000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7,7500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7,5000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37,5000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52,5000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67,5000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82,5000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6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Доля пациентов с хроническим 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3,9000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4,7000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5,1000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вирусным гепатитом С,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6D6C" w:rsidRDefault="00E46D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46D6C" w:rsidRDefault="00E46D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4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потребность в лекарственных препаратах пациентов с хроническим вирусным гепатитом С, получающих лечение в амбулаторных условиях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110,0000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12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Лицам, находящимся под диспансерным наблюдением с установленным диагнозом хронического вирусного гепатита С, проведена полноценная диагностика и выявлены медицинские показания для назначения лечения в амбулаторных условиях. Проведено лечение больным с хроническим вирусным гепатитом С противовирусными препаратами прямого действия, что позволит профилактировать развитие осложнений, в том числе продвинутых стадий фиброза и цирроза печени. Органами исполнительной власти субъектов Российской Федерации в сфере охраны здоровья будет проведена закупка противовирусных препаратов и организовано лечение пациентов с хроническим вирусным гепатитом С за счет средств федерального бюджета с учетом софинансирования из средств бюджета. В результате ежегодно не менее 25000 больных с хроническим вирусным гепатитом С в Российской Федерации будут обеспечены препаратами для лечения хронического вирусного гепатита С в амбулаторных условиях. Таким образом не менее 4% пациентов с хроническим вирусным гепатитом С будут охвачены амбулаторным лечением с увеличением доли охвата до 10% к 2030 году.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9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Пациенты с хроническим вирусным гепатитом С в условиях дневного стационара обеспечены полным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108,0000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6D6C" w:rsidRDefault="00E46D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46D6C" w:rsidRDefault="00E46D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курсом противовирусной терапии в рамках обязательного медицинского страхования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60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Лицам, находящимся под диспансерным наблюдением с установленным диагнозом хронического вирусного гепатита С, проведена полноценная диагностика и выявлены медицинские показания для назначения лечения и выявлены показания для лечения в условиях дневного стационара и стационарных условиях в соответствии с Приказом Минздрава России от 27 февраля 2023 г. № 70н "Об утверждении критериев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рекомендациями, оплата которой осуществляется за счет средств обязательного медицинского страхования". Проведено лечение больным с хроническим вирусным гепатитом С противовирусными препаратами прямого действия, в условиях дневного стационара. В результате ежегодно не менее 33 333 больных с хроническим вирусным гепатитом С в Российской Федерации будут обеспечены препаратами для лечения хронического вирусного гепатита С в условиях дневного стационара в рамках обязательного медицинского страхования. В том числе, в городе Москве в период 2025-2030 гг. будет пролечено ежегодно не менее 3 054 больных с хроническим вирусным гепатитом С в амбулаторных условиях за счет средств бюджета субъекта Российской Федерации. Таким образом не менее 5,1% больных с хроническим вирусным гепатитом С в 2025 году будут охвачены лечением с увеличением доли охвата до 15% к 2030 году за счет средств обязательного медицинского страхования.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6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 С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Условная 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 89 субъектах Российской Федерации будет обеспечено своевременное внесение данных о всех пациентах с хроническим вирусным гепатитом С. Цель - обеспечение учета пациентов с вирусными гепатитами, что позволит обеспечить качественное планирование мероприятий по профилактике, диагностике и лечению хронического 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6D6C" w:rsidRDefault="00E46D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46D6C" w:rsidRDefault="00E46D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вирусного гепатита С, а также достоверного прогноза потребности в лекарственных препаратах, необходимых для их лечения. К 2030 году в каждом субъекте будет обеспечено внесение данных не менее, чем о 95% всех пациентов с ХВГС в Федеральный регистр вирусных гепатитов.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Достигнут устойчивый вирусологический ответ у пациентов с хроническим вирусным гепатитом С, завершивших курс противовирусной терапии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субъектах Российской Федерации организовано оказание медицинской помощи, в том числе лекарственное обеспечение пациентов с хроническим вирусным гепатитом С в амбулаторных, в условиях дневного стационара и стационарных условиях. Для обеспечения эффективности лечения в медицинских организациях, оказывающих медицинскую помощь пациентам с хроническим вирусным гепатитом С, получающим лечение будут своевременно проводиться клинико-лабораторные и инструментальные исследования, организовано контролируемое лечение, что позволит достигнуть элиминации вируса гепатита С из организма. В результате будет обеспечено выздоровление более 55 тысяч пациентов ежегодно начиная с 2026 года и в 2030 году не менее 56306 человек.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4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Проведены скрининговые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32 571,0000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65 141,0000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88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Во всех субъектах Российской Федерации проведены обследования населения для выявления заболевания вирусным гепатитом С. Всеми медицинскими организациями, проводящими профилактические осмотры населения в рамках обязательного медицинского страхования будет проведено обследование граждан для 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6D6C" w:rsidRDefault="00E46D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E46D6C" w:rsidRDefault="00E46D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выявления антител вируса гепатита С в крови. Цель - раннее выявление хронического вирусного гепатита С, что позволит снизить число осложнений, удельный вес пациентов с продвинутым фиброзом печени, с целью снижения инвалидизации, смертности и увеличения продолжительности жизни пациентов. Ежегодно будет обследоваться около 8 миллионов граждан в возрасте 25 лет и старше. К 2030 году будет обследовано не менее 47 722 840 человек в указанной возрастной категории.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 субъектах Российской Федерации обеспечена реализация мероприятий,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направленных на борьбу с гепатитом С, минимизацию рисков распространения данного заболевания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E46D6C" w:rsidRDefault="00E46D6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В 89 субъектах Российской Федерации разработана и внедрена программа по борьбе с хроническим вирусным гепатитом С. Проводится организационно-методическая работа по раннему выявлению ХВГС, лечению пациентов с ХВГС и проведению профилактических мероприятий. Цель - повышение доступности и качества медицинской помощи пациентам с хроническим вирусным гепатитом С. Начиная с 2025 и по 2030 годы будет разработана и внедрена единая система профилактики, диагностики и лечения ХВГС в каждом субъекте Российской Федерации.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3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533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16191" w:type="dxa"/>
            <w:gridSpan w:val="52"/>
          </w:tcPr>
          <w:p w:rsidR="00E46D6C" w:rsidRDefault="00E46D6C"/>
        </w:tc>
      </w:tr>
      <w:tr w:rsidR="00E46D6C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E46D6C" w:rsidRDefault="005214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46D6C" w:rsidRDefault="005214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46D6C" w:rsidRDefault="00E46D6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Обеспечена потребность в лекарственных препаратах пациентов с хроническим вирусным гепатитом С, получающих лечение в амбулаторных условиях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22 192,22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22 561,92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22 999,29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67 753,43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22 192,22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22 561,92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22 999,29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67 753,43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22 192,22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22 561,92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22 999,29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22 192,22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22 561,92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22 999,29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67 753,43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22 192,22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22 561,92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22 999,29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67 753,43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00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8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E46D6C" w:rsidRDefault="00E46D6C"/>
        </w:tc>
        <w:tc>
          <w:tcPr>
            <w:tcW w:w="573" w:type="dxa"/>
            <w:gridSpan w:val="2"/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46D6C" w:rsidRDefault="00E46D6C"/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"Обеспечена потребность в лекарственных препаратах пациентов с хроническим вирусным гепатитом С, получающих лечение в амбулаторных условиях"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22 192,22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6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22 192,22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6D6C" w:rsidRDefault="00E46D6C"/>
        </w:tc>
      </w:tr>
    </w:tbl>
    <w:p w:rsidR="00E46D6C" w:rsidRDefault="00E46D6C">
      <w:pPr>
        <w:sectPr w:rsidR="00E46D6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E46D6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11176" w:type="dxa"/>
            <w:gridSpan w:val="6"/>
          </w:tcPr>
          <w:p w:rsidR="00E46D6C" w:rsidRDefault="00E46D6C"/>
        </w:tc>
        <w:tc>
          <w:tcPr>
            <w:tcW w:w="4728" w:type="dxa"/>
            <w:gridSpan w:val="3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817"/>
        </w:trPr>
        <w:tc>
          <w:tcPr>
            <w:tcW w:w="11176" w:type="dxa"/>
            <w:gridSpan w:val="6"/>
          </w:tcPr>
          <w:p w:rsidR="00E46D6C" w:rsidRDefault="00E46D6C"/>
        </w:tc>
        <w:tc>
          <w:tcPr>
            <w:tcW w:w="4728" w:type="dxa"/>
            <w:gridSpan w:val="3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Борьба с гепатитом С и минимизация рисков распространения данного заболевания (Чувашская Республика - Чувашия)</w:t>
            </w:r>
          </w:p>
        </w:tc>
        <w:tc>
          <w:tcPr>
            <w:tcW w:w="287" w:type="dxa"/>
          </w:tcPr>
          <w:p w:rsidR="00E46D6C" w:rsidRDefault="00E46D6C"/>
        </w:tc>
      </w:tr>
      <w:tr w:rsidR="00E46D6C">
        <w:trPr>
          <w:trHeight w:hRule="exact" w:val="143"/>
        </w:trPr>
        <w:tc>
          <w:tcPr>
            <w:tcW w:w="860" w:type="dxa"/>
            <w:shd w:val="clear" w:color="auto" w:fill="auto"/>
          </w:tcPr>
          <w:p w:rsidR="00E46D6C" w:rsidRDefault="005214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46D6C" w:rsidRDefault="005214C6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46D6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будет обеспечено снижение заболеваемости хроническим вирусным гепатитом С не менее, чем на 15%, смертности не менее, чем на 20%, что обеспечит сохранение не менее чем 98000 жизней</w:t>
            </w:r>
          </w:p>
        </w:tc>
      </w:tr>
      <w:tr w:rsidR="00E46D6C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"Обеспечена потребность в лекарственных препаратах пациентов с хроническим вирусным гепатитом С, получающих лечение в амбулаторных условиях"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Лицам, находящимся под диспансерным наблюдением с установленным диагнозом хронического вирусного гепатита С, проведена полноценная диагностика и выявлены медицинские показания для назначения лечения в амбулаторных условиях. Проведено лечение больным с хроническим вирусным гепатитом С противовирусными препаратами прямого действия, что позволит профилактировать развитие осложнений, в том числе продвинутых </w:t>
            </w:r>
          </w:p>
          <w:p w:rsidR="00E46D6C" w:rsidRDefault="00E46D6C"/>
        </w:tc>
      </w:tr>
      <w:tr w:rsidR="00E46D6C">
        <w:trPr>
          <w:trHeight w:hRule="exact" w:val="27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стадий фиброза и цирроза печени. Органами исполнительной власти субъектов Российской Федерации в сфере охраны здоровья будет проведена закупка противовирусных препаратов и организовано лечение пациентов с хроническим вирусным гепатитом С за счет средств федерального бюджета с учетом софинансирования из средств бюджета. В результате ежегодно не менее 25000 больных с хроническим вирусным гепатитом С в Российской Федерации будут обеспечены препаратами для лечения хронического вирусного гепатита С в амбулаторных условиях. Таким образом не менее 4% пациентов с </w:t>
            </w:r>
          </w:p>
          <w:p w:rsidR="00E46D6C" w:rsidRDefault="00E46D6C"/>
        </w:tc>
      </w:tr>
      <w:tr w:rsidR="00E46D6C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хроническим вирусным гепатитом С будут охвачены амбулаторным лечением с увеличением доли охвата до 10% к 2030 году.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 за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 за 1 квартал</w:t>
            </w:r>
          </w:p>
          <w:p w:rsidR="00E46D6C" w:rsidRDefault="00E46D6C"/>
        </w:tc>
      </w:tr>
      <w:tr w:rsidR="00E46D6C">
        <w:trPr>
          <w:trHeight w:hRule="exact" w:val="7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об использовании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об использовании межбюджетных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межбюджетных трансфертов за 2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трансфертов за 2 квартал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 за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 за 3 квартал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 за 4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 за 4 квартал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E46D6C" w:rsidRDefault="00E46D6C"/>
        </w:tc>
      </w:tr>
      <w:tr w:rsidR="00E46D6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заключенных заказчиками по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28.02.2026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реализации на территории субъекта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15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18.02.2028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E46D6C" w:rsidRDefault="00E46D6C"/>
        </w:tc>
      </w:tr>
      <w:tr w:rsidR="00E46D6C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286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представлении субсидий"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реализации на территории субъекта Российской Федерации регионального проекта, обеспечивающего достижение показателей и мероприятий (результатов) соответствующего федерального проекта (в части мероприятия (результата) федерального проекта)</w:t>
            </w:r>
          </w:p>
          <w:p w:rsidR="00E46D6C" w:rsidRDefault="00E46D6C"/>
        </w:tc>
      </w:tr>
      <w:tr w:rsidR="00E46D6C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6D6C" w:rsidRDefault="00E46D6C"/>
        </w:tc>
      </w:tr>
      <w:tr w:rsidR="00E46D6C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E46D6C" w:rsidRDefault="00E46D6C"/>
        </w:tc>
      </w:tr>
      <w:tr w:rsidR="00E46D6C">
        <w:trPr>
          <w:trHeight w:hRule="exact" w:val="232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"Пациенты с хроническим вирусным гепатитом С в условиях дневного стационара обеспечены полным курсом противовирусной терапии в рамках обязательного медицинского страхования"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Лицам, находящимся под диспансерным наблюдением с установленным диагнозом хронического вирусного гепатита С, проведена полноценная диагностика и выявлены медицинские показания для назначения лечения и выявлены показания для лечения в условиях дневного стационара и стационарных условиях в соответствии с Приказом Минздрава </w:t>
            </w:r>
          </w:p>
          <w:p w:rsidR="00E46D6C" w:rsidRDefault="00E46D6C"/>
        </w:tc>
      </w:tr>
      <w:tr w:rsidR="00E46D6C">
        <w:trPr>
          <w:trHeight w:hRule="exact" w:val="230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России от 27 февраля 2023 г. № 70н "Об утверждении критериев оказания медицинской помощи больным с гепатитом С в условиях дневного стационара и стационарных условиях в соответствии с клиническими рекомендациями, оплата которой осуществляется за счет средств обязательного медицинского страхования". Проведено лечение больным с хроническим вирусным гепатитом С противовирусными препаратами прямого действия, в условиях дневного стационара. В результате ежегодно не менее 33 333 больных с хроническим вирусным гепатитом С в Российской Федерации будут обеспечены препаратами для лечения </w:t>
            </w:r>
          </w:p>
          <w:p w:rsidR="00E46D6C" w:rsidRDefault="00E46D6C"/>
        </w:tc>
      </w:tr>
      <w:tr w:rsidR="00E46D6C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хронического вирусного гепатита С в условиях дневного стационара в рамках обязательного медицинского страхования. В том числе, в городе Москве в период 2025-2030 гг. будет пролечено ежегодно не менее 3 054 больных с хроническим вирусным гепатитом С в амбулаторных условиях за счет средств бюджета субъекта Российской Федерации. Таким образом не менее 5,1% больных с хроническим вирусным гепатитом С в 2025 году будут охвачены лечением с увеличением доли охвата до 15% к 2030 году за счет средств обязательного медицинского страхования.</w:t>
            </w:r>
          </w:p>
          <w:p w:rsidR="00E46D6C" w:rsidRDefault="00E46D6C"/>
        </w:tc>
      </w:tr>
      <w:tr w:rsidR="00E46D6C">
        <w:trPr>
          <w:trHeight w:hRule="exact" w:val="222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20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Территориального фонда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Представлен отчет Территориального фонда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обязательного медицинского страхования Чувашской Республики за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обязательного медицинского страхования Чувашской Республики за 1 квартал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2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 Чувашской Республики за 2 квартал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 Чувашской Республики за 3 квартал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4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 Чувашской Республики за 3 квартал</w:t>
            </w:r>
          </w:p>
          <w:p w:rsidR="00E46D6C" w:rsidRDefault="00E46D6C"/>
        </w:tc>
      </w:tr>
      <w:tr w:rsidR="00E46D6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точка"100% пациентов с хроническим вирусным гепатитом С обеспечены полным курсом противовирусной терапии в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 Чувашской Республики за 2025 год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рамках обязательного медицинского страхования в условиях дневного стационара 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</w:t>
            </w:r>
          </w:p>
          <w:p w:rsidR="00E46D6C" w:rsidRDefault="00E46D6C"/>
        </w:tc>
      </w:tr>
      <w:tr w:rsidR="00E46D6C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Территориального фонда обязательного медицинского страхования</w:t>
            </w:r>
          </w:p>
          <w:p w:rsidR="00E46D6C" w:rsidRDefault="00E46D6C"/>
        </w:tc>
      </w:tr>
      <w:tr w:rsidR="00E46D6C">
        <w:trPr>
          <w:trHeight w:hRule="exact" w:val="2322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 С"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89 субъектах Российской Федерации будет обеспечено своевременное внесение данных о всех пациентах с хроническим вирусным гепатитом С. Цель - обеспечение учета пациентов с вирусными гепатитами, что позволит обеспечить качественное планирование мероприятий по профилактике, диагностике и лечению </w:t>
            </w:r>
          </w:p>
          <w:p w:rsidR="00E46D6C" w:rsidRDefault="00E46D6C"/>
        </w:tc>
      </w:tr>
      <w:tr w:rsidR="00E46D6C">
        <w:trPr>
          <w:trHeight w:hRule="exact" w:val="23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хронического вирусного гепатита С, а также достоверного прогноза потребности в лекарственных препаратах, необходимых для их лечения. К 2030 году в каждом субъекте будет обеспечено внесение данных не менее, чем о 95% всех пациентов с ХВГС в Федеральный регистр вирусных гепатитов.</w:t>
            </w:r>
          </w:p>
          <w:p w:rsidR="00E46D6C" w:rsidRDefault="00E46D6C"/>
        </w:tc>
      </w:tr>
      <w:tr w:rsidR="00E46D6C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доле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 за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пациентах внесенных в Федеральный регистр вирусных гепатитов </w:t>
            </w:r>
          </w:p>
          <w:p w:rsidR="00E46D6C" w:rsidRDefault="00E46D6C"/>
        </w:tc>
      </w:tr>
      <w:tr w:rsidR="00E46D6C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доле пациентов с хроническим вирусным гепатитом С, данные о которых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пациентах внесенных в Федеральный регистр вирусных гепатитов,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Федеральный регистр вирусных гепатитов, из числа зарегистрированных пациентов с хроническим вирусным гепатитом С за 2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доле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 за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внесенных пациентах в Федеральный регистр вирусных гепатитов </w:t>
            </w:r>
          </w:p>
          <w:p w:rsidR="00E46D6C" w:rsidRDefault="00E46D6C"/>
        </w:tc>
      </w:tr>
      <w:tr w:rsidR="00E46D6C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предварительный отчет о доле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 за 4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внесенных пациентах в Федеральный регистр вирусных гепатитов </w:t>
            </w:r>
          </w:p>
          <w:p w:rsidR="00E46D6C" w:rsidRDefault="00E46D6C"/>
        </w:tc>
      </w:tr>
      <w:tr w:rsidR="00E46D6C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предварительный отчет о доле пациентов с хроническим вирусным гепатитом С, данные о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внесенных пациентах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которых внесены в Федеральный регистр вирусных гепатитов, из числа зарегистрированных пациентов с хроническим вирусным гепатитом С в 2025 году"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внесенных пациентов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внесенных пациентах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внесенных пациентах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внесенных пациентов в Федеральный регистр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вирусных гепатитов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внесенных пациентов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внесенных пациентов в Федеральный регистр вирусных гепатитов</w:t>
            </w:r>
          </w:p>
          <w:p w:rsidR="00E46D6C" w:rsidRDefault="00E46D6C"/>
        </w:tc>
      </w:tr>
      <w:tr w:rsidR="00E46D6C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"Достигнут устойчивый вирусологический ответ у пациентов с хроническим вирусным гепатитом С, завершивших курс противовирусной терапии"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субъектах Российской Федерации организовано оказание медицинской помощи, в том числе лекарственное обеспечение пациентов с хроническим вирусным гепатитом С в амбулаторных, в условиях дневного стационара и стационарных условиях. Для обеспечения </w:t>
            </w:r>
          </w:p>
          <w:p w:rsidR="00E46D6C" w:rsidRDefault="00E46D6C"/>
        </w:tc>
      </w:tr>
      <w:tr w:rsidR="00E46D6C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эффективности лечения в медицинских организациях, оказывающих медицинскую помощь пациентам с хроническим вирусным гепатитом С, получающим лечение будут своевременно проводиться клинико-лабораторные и инструментальные исследования, организовано контролируемое лечение, что позволит достигнуть элиминации вируса гепатита С из организма. В результате будет обеспечено выздоровление более 55 тысяч пациентов ежегодно начиная с 2026 года и в 2030 году не менее 56306 человек.</w:t>
            </w:r>
          </w:p>
          <w:p w:rsidR="00E46D6C" w:rsidRDefault="00E46D6C"/>
        </w:tc>
      </w:tr>
      <w:tr w:rsidR="00E46D6C">
        <w:trPr>
          <w:trHeight w:hRule="exact" w:val="20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0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11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доле пациентов с хроническим вирусным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 за 1 квартал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гепатитом С, получивших полный курс противовирусной терапии, у которых достигнут устойчивый вирусологический ответ по результатам контрольных исследований не менее чем через 12 недель после завершения лечения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доле пациентов с хроническим вирусным гепатитом С, получивших полный курс противовирусной терапии, у которых достигнут устойчивый вирусологический ответ по результатам контрольных исследований не менее чем через 12 недель после завершения лечения 2 квартал"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 за квартал</w:t>
            </w:r>
          </w:p>
          <w:p w:rsidR="00E46D6C" w:rsidRDefault="00E46D6C"/>
        </w:tc>
      </w:tr>
      <w:tr w:rsidR="00E46D6C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доле пациентов с хроническим вирусным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 за 3 квартал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гепатитом С, получивших полный курс противовирусной терапии, у которых достигнут устойчивый вирусологический ответ по результатам контрольных исследований не менее чем через 12 недель после завершения лечения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предварительный отчет о доле пациентов с хроническим вирусным гепатитом С, получивших полный курс противовирусной терапии, у которых достигнут устойчивый вирусологический ответ по результатам контрольных исследований не менее чем через 12 недель после завершения лечения 4 квартал"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 за 4 квартал</w:t>
            </w:r>
          </w:p>
          <w:p w:rsidR="00E46D6C" w:rsidRDefault="00E46D6C"/>
        </w:tc>
      </w:tr>
      <w:tr w:rsidR="00E46D6C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50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предварительный отчет о доле пациентов с хроническим вирусным гепатитом С, получивших полный курс противовирусной терапии, у которых достигнут устойчивый вирусологический ответ по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 контрольных исследований не менее чем через 12 недель после завершения лечения"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УВО</w:t>
            </w:r>
          </w:p>
          <w:p w:rsidR="00E46D6C" w:rsidRDefault="00E46D6C"/>
        </w:tc>
      </w:tr>
      <w:tr w:rsidR="00E46D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"Проведены скрининговые исследования на антитела гепатиту C граждан в возрасте 25 лет и старше один раз в 10 лет путём определения суммарных антител к вирусу гепатита C в крови"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Во всех субъектах Российской Федерации проведены обследования населения для выявления заболевания вирусным гепатитом С. Всеми медицинскими организациями, проводящими профилактические осмотры населения в рамках обязательного медицинского страхования будет проведено обследование граждан для выявления антител вируса гепатита С в крови. Цель - раннее выявление хронического вирусного гепатита С, что позволит снизить число осложнений, </w:t>
            </w:r>
          </w:p>
          <w:p w:rsidR="00E46D6C" w:rsidRDefault="00E46D6C"/>
        </w:tc>
      </w:tr>
      <w:tr w:rsidR="00E46D6C">
        <w:trPr>
          <w:trHeight w:hRule="exact" w:val="154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54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удельный вес пациентов с продвинутым фиброзом печени, с целью снижения инвалидизации, смертности и увеличения продолжительности жизни пациентов. Ежегодно будет обследоваться около 8 миллионов граждан в возрасте 25 лет и старше. К 2030 году будет обследовано не менее 47 722 840 человек в указанной возрастной категории.</w:t>
            </w:r>
          </w:p>
          <w:p w:rsidR="00E46D6C" w:rsidRDefault="00E46D6C"/>
        </w:tc>
      </w:tr>
      <w:tr w:rsidR="00E46D6C">
        <w:trPr>
          <w:trHeight w:hRule="exact" w:val="23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2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Территориального фонда обязательного медицинского страхования Чувашской Республики за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предварительный отчет Территориального фонда обязательного медицинского страхования Чувашской Республики за 4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24.12.2025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предварительный отчет Территориального фонда обязательного медицинского страхования Чувашской Республики за 2025 год"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об 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обследованных пациентах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Дроздов М.В.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обследованных пациентах</w:t>
            </w:r>
          </w:p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1.6.</w:t>
            </w:r>
          </w:p>
          <w:p w:rsidR="00E46D6C" w:rsidRDefault="00E46D6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"В субъектах Российской Федерации обеспечена реализация мероприятий, направленных на борьбу с гепатитом С, минимизацию рисков распространения данного заболевания"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6D6C" w:rsidRDefault="00E46D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Игнатьева О.О.</w:t>
            </w:r>
          </w:p>
          <w:p w:rsidR="00E46D6C" w:rsidRDefault="00E46D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89 субъектах Российской Федерации разработана и внедрена программа по борьбе с хроническим вирусным гепатитом С. Проводится организационно-методическая работа по раннему выявлению ХВГС, лечению пациентов с ХВГС и проведению профилактических мероприятий. Цель - повышение доступности и качества медицинской помощи пациентам с хроническим вирусным гепатитом С. Начиная с 2025 и по 2030 годы будет разработана и внедрена единая система профилактики, диагностики и лечения ХВГС в каждом субъекте Российской Федерации.</w:t>
            </w:r>
          </w:p>
          <w:p w:rsidR="00E46D6C" w:rsidRDefault="00E46D6C"/>
        </w:tc>
      </w:tr>
      <w:tr w:rsidR="00E46D6C">
        <w:trPr>
          <w:trHeight w:hRule="exact" w:val="20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207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6D6C" w:rsidRDefault="00E46D6C"/>
        </w:tc>
      </w:tr>
      <w:tr w:rsidR="00E46D6C">
        <w:trPr>
          <w:trHeight w:hRule="exact" w:val="4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реализации плана мероприятий по борьбе с хроническим вирусным гепатитом С на территории Чувашской Республики в период до 2030 г. за 1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 на территории Чувашской Республики за 1 квартал</w:t>
            </w:r>
          </w:p>
          <w:p w:rsidR="00E46D6C" w:rsidRDefault="00E46D6C"/>
        </w:tc>
      </w:tr>
      <w:tr w:rsidR="00E46D6C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реализации плана мероприятий по борьбе с хроническим вирусным гепатитом С на территории Чувашской Республики в период до 2030 г. за 2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 реализация плана мероприятий по борьбе с хроническим вирусным гепатитом С за 2 квартал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31.07.2025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</w:t>
            </w:r>
          </w:p>
          <w:p w:rsidR="00E46D6C" w:rsidRDefault="00E46D6C"/>
        </w:tc>
      </w:tr>
      <w:tr w:rsidR="00E46D6C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реализации плана мероприятий по борьбе с хроническим вирусным гепатитом С на территории Чувашской Республики в период до 2030 г. за 3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 за 3 квартал</w:t>
            </w:r>
          </w:p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реализации плана мероприятий по борьбе с хроническим вирусным гепатитом С на территории Чувашской Республики в период до 2030 г. 4 квартал"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 за 4 квартал</w:t>
            </w:r>
          </w:p>
          <w:p w:rsidR="00E46D6C" w:rsidRDefault="00E46D6C"/>
        </w:tc>
      </w:tr>
      <w:tr w:rsidR="00E46D6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предварительный отчет о реализации плана мероприятий по борьбе с хроническим вирусным гепатитом С на территории Чувашской Республики в период до 2030 г."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 в период до 2030 г.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</w:t>
            </w:r>
          </w:p>
          <w:p w:rsidR="00E46D6C" w:rsidRDefault="00E46D6C"/>
        </w:tc>
      </w:tr>
      <w:tr w:rsidR="00E46D6C">
        <w:trPr>
          <w:trHeight w:hRule="exact" w:val="5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реализация </w:t>
            </w:r>
          </w:p>
          <w:p w:rsidR="00E46D6C" w:rsidRDefault="00E46D6C"/>
        </w:tc>
      </w:tr>
      <w:tr w:rsidR="00E46D6C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6D6C" w:rsidRDefault="00E46D6C"/>
        </w:tc>
      </w:tr>
      <w:tr w:rsidR="00E46D6C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6D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6D6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плана мероприятий по борьбе с хроническим вирусным гепатитом С</w:t>
            </w:r>
          </w:p>
          <w:p w:rsidR="00E46D6C" w:rsidRDefault="00E46D6C"/>
        </w:tc>
      </w:tr>
      <w:tr w:rsidR="00E46D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</w:t>
            </w:r>
          </w:p>
          <w:p w:rsidR="00E46D6C" w:rsidRDefault="00E46D6C"/>
        </w:tc>
      </w:tr>
      <w:tr w:rsidR="00E46D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6D6C" w:rsidRDefault="00E46D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6D6C" w:rsidRDefault="00E46D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6D6C" w:rsidRDefault="00E46D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Митина Е.И.</w:t>
            </w:r>
          </w:p>
          <w:p w:rsidR="00E46D6C" w:rsidRDefault="00E46D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реализация плана мероприятий по борьбе с хроническим вирусным гепатитом С</w:t>
            </w:r>
          </w:p>
          <w:p w:rsidR="00E46D6C" w:rsidRDefault="00E46D6C"/>
        </w:tc>
      </w:tr>
    </w:tbl>
    <w:p w:rsidR="00E46D6C" w:rsidRDefault="00E46D6C">
      <w:pPr>
        <w:sectPr w:rsidR="00E46D6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673"/>
        <w:gridCol w:w="5043"/>
        <w:gridCol w:w="5345"/>
        <w:gridCol w:w="5330"/>
        <w:gridCol w:w="2908"/>
        <w:gridCol w:w="2408"/>
        <w:gridCol w:w="673"/>
        <w:gridCol w:w="201"/>
        <w:gridCol w:w="716"/>
      </w:tblGrid>
      <w:tr w:rsidR="00E46D6C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E46D6C" w:rsidRDefault="00E46D6C"/>
        </w:tc>
      </w:tr>
      <w:tr w:rsidR="00E46D6C">
        <w:trPr>
          <w:trHeight w:hRule="exact" w:val="716"/>
        </w:trPr>
        <w:tc>
          <w:tcPr>
            <w:tcW w:w="22782" w:type="dxa"/>
            <w:gridSpan w:val="9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Борьба с гепатитом С и минимизация рисков распространения данного заболевания (Чувашская Республика - Чувашия)</w:t>
            </w:r>
          </w:p>
        </w:tc>
        <w:tc>
          <w:tcPr>
            <w:tcW w:w="716" w:type="dxa"/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23498" w:type="dxa"/>
            <w:gridSpan w:val="10"/>
            <w:shd w:val="clear" w:color="auto" w:fill="auto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E46D6C">
        <w:trPr>
          <w:trHeight w:hRule="exact" w:val="287"/>
        </w:trPr>
        <w:tc>
          <w:tcPr>
            <w:tcW w:w="2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№ п/п</w:t>
            </w:r>
          </w:p>
        </w:tc>
        <w:tc>
          <w:tcPr>
            <w:tcW w:w="6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Наименование мероприятия (результата)</w:t>
            </w:r>
          </w:p>
        </w:tc>
        <w:tc>
          <w:tcPr>
            <w:tcW w:w="21034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показателей (процентов)</w:t>
            </w:r>
          </w:p>
        </w:tc>
        <w:tc>
          <w:tcPr>
            <w:tcW w:w="6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2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21034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Показатели регионального проекта</w:t>
            </w:r>
          </w:p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2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пациентов, излечившихся от хронического вирусного гепатита С, от обеспеченных лекарственными препаратами",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"Охват скринингом на наличие антител к вирусному гепатиту С лиц из групп повышенного риска",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293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1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 субъектах Российской Федерации обеспечена реализация мероприятий, направленных на борьбу с гепатитом С, минимизацию рисков распространения данного заболевания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20,00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10,00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30,00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292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2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Обеспечено ведение региональных сегментов Федерального регистра вирусных гепатитов и своевременное внесение данных о пациентах с хроническим вирусным гепатитом С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80,00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80,00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150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3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Обеспечена потребность в лекарственных препаратах пациентов с хроническим вирусным гепатитом С, получающих лечение в амбулаторных условиях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3,82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3,82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1862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4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Достигнут устойчивый вирусологический ответ у пациентов с хроническим вирусным гепатитом С, завершивших курс противовирусной терапии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3,82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5,10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8,92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293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5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Проведены скрининговые исследования на антитела гепатиту C граждан в возрасте 25 лет и старше один раз в 10 лет путём определения суммарных антител к вирусу гепатита C в крови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7,52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7,52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1705"/>
        </w:trPr>
        <w:tc>
          <w:tcPr>
            <w:tcW w:w="22581" w:type="dxa"/>
            <w:gridSpan w:val="8"/>
            <w:tcBorders>
              <w:top w:val="single" w:sz="5" w:space="0" w:color="9B9B9B"/>
            </w:tcBorders>
          </w:tcPr>
          <w:p w:rsidR="00E46D6C" w:rsidRDefault="00E46D6C"/>
        </w:tc>
        <w:tc>
          <w:tcPr>
            <w:tcW w:w="917" w:type="dxa"/>
            <w:gridSpan w:val="2"/>
          </w:tcPr>
          <w:p w:rsidR="00E46D6C" w:rsidRDefault="00E46D6C"/>
        </w:tc>
      </w:tr>
      <w:tr w:rsidR="00E46D6C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E46D6C" w:rsidRDefault="00E46D6C"/>
        </w:tc>
      </w:tr>
      <w:tr w:rsidR="00E46D6C">
        <w:trPr>
          <w:trHeight w:hRule="exact" w:val="286"/>
        </w:trPr>
        <w:tc>
          <w:tcPr>
            <w:tcW w:w="2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№ п/п</w:t>
            </w:r>
          </w:p>
        </w:tc>
        <w:tc>
          <w:tcPr>
            <w:tcW w:w="6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Наименование мероприятия (результата)</w:t>
            </w:r>
          </w:p>
        </w:tc>
        <w:tc>
          <w:tcPr>
            <w:tcW w:w="21034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показателей (процентов)</w:t>
            </w:r>
          </w:p>
        </w:tc>
        <w:tc>
          <w:tcPr>
            <w:tcW w:w="67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87"/>
        </w:trPr>
        <w:tc>
          <w:tcPr>
            <w:tcW w:w="2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21034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Показатели регионального проекта</w:t>
            </w:r>
          </w:p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573"/>
        </w:trPr>
        <w:tc>
          <w:tcPr>
            <w:tcW w:w="2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из числа зарегистрированных пациентов с хроническим вирусным гепатитом С",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 в амбулаторных условиях, от общего числа пациентов с хроническим вирусным гепатитом С, состоящих под диспансерным наблюдением",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 с хроническим вирусным гепатитом С, данные о которых внесены в Федеральный регистр вирусных гепатитов, обеспеченных лекарственными препаратами, в условиях дневного стационара в рамках обязательного медицинского страхования, от общего числа пациентов с хроническим вирусным гепатитом С, состоящих под диспансерным наблюдением",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"Доля пациентов, излечившихся от хронического вирусного гепатита С, от обеспеченных лекарственными препаратами",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 xml:space="preserve">"Охват скринингом на наличие антител к вирусному гепатиту С лиц из групп повышенного риска", </w:t>
            </w:r>
          </w:p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Влияние на достижение (процентов)</w:t>
            </w:r>
          </w:p>
        </w:tc>
        <w:tc>
          <w:tcPr>
            <w:tcW w:w="67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E46D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2579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6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Пациенты с хроническим вирусным гепатитом С в условиях дневного стационара обеспечены полным курсом противовирусной терапии в рамках обязательного медицинского страхования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5,10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0,00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5,10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  <w:tr w:rsidR="00E46D6C">
        <w:trPr>
          <w:trHeight w:hRule="exact" w:val="1003"/>
        </w:trPr>
        <w:tc>
          <w:tcPr>
            <w:tcW w:w="2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E46D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5"/>
              </w:rPr>
              <w:t>ИТОГО обеспеченность показателей федерального проекта, %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100,00</w:t>
            </w:r>
          </w:p>
        </w:tc>
        <w:tc>
          <w:tcPr>
            <w:tcW w:w="534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27,64</w:t>
            </w:r>
          </w:p>
        </w:tc>
        <w:tc>
          <w:tcPr>
            <w:tcW w:w="533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20,20</w:t>
            </w:r>
          </w:p>
        </w:tc>
        <w:tc>
          <w:tcPr>
            <w:tcW w:w="29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20,00</w:t>
            </w:r>
          </w:p>
        </w:tc>
        <w:tc>
          <w:tcPr>
            <w:tcW w:w="240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37,52</w:t>
            </w:r>
          </w:p>
        </w:tc>
        <w:tc>
          <w:tcPr>
            <w:tcW w:w="67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6D6C" w:rsidRDefault="005214C6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5"/>
              </w:rPr>
              <w:t>205,36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6D6C" w:rsidRDefault="00E46D6C"/>
        </w:tc>
      </w:tr>
    </w:tbl>
    <w:p w:rsidR="009A0256" w:rsidRDefault="009A0256"/>
    <w:sectPr w:rsidR="009A0256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46D6C"/>
    <w:rsid w:val="00353658"/>
    <w:rsid w:val="005214C6"/>
    <w:rsid w:val="009A0256"/>
    <w:rsid w:val="00E4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10854</Words>
  <Characters>61872</Characters>
  <Application>Microsoft Office Word</Application>
  <DocSecurity>0</DocSecurity>
  <Lines>515</Lines>
  <Paragraphs>145</Paragraphs>
  <ScaleCrop>false</ScaleCrop>
  <Company>Stimulsoft Reports 2019.3.4 from 5 August 2019</Company>
  <LinksUpToDate>false</LinksUpToDate>
  <CharactersWithSpaces>72581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RP_Bor'ba_s_gepatitom_S_i_minimizaciya_riskov_rasprostraneniya_dannogo_zabolevaniya_(CHuvashskaya_Respublika_-_CHuvashiya)</dc:title>
  <dc:subject>RP_Bor'ba_s_gepatitom_S_i_minimizaciya_riskov_rasprostraneniya_dannogo_zabolevaniya_(CHuvashskaya_Respublika_-_CHuvashiya)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2025-02-18T11:17:00Z</dcterms:created>
  <dcterms:modified xsi:type="dcterms:W3CDTF">2025-02-25T13:32:00Z</dcterms:modified>
</cp:coreProperties>
</file>