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177" w:rsidRDefault="009F0177" w:rsidP="004327EE">
      <w:pPr>
        <w:ind w:firstLine="709"/>
        <w:jc w:val="center"/>
        <w:rPr>
          <w:b/>
        </w:rPr>
      </w:pPr>
    </w:p>
    <w:p w:rsidR="00400C62" w:rsidRDefault="00400C62" w:rsidP="004327EE">
      <w:pPr>
        <w:ind w:firstLine="709"/>
        <w:jc w:val="center"/>
        <w:rPr>
          <w:b/>
        </w:rPr>
      </w:pPr>
    </w:p>
    <w:p w:rsidR="00400C62" w:rsidRDefault="00400C62" w:rsidP="004327EE">
      <w:pPr>
        <w:ind w:firstLine="709"/>
        <w:jc w:val="center"/>
        <w:rPr>
          <w:b/>
        </w:rPr>
      </w:pPr>
    </w:p>
    <w:p w:rsidR="00400C62" w:rsidRDefault="00400C62" w:rsidP="004327EE">
      <w:pPr>
        <w:ind w:firstLine="709"/>
        <w:jc w:val="center"/>
        <w:rPr>
          <w:b/>
        </w:rPr>
      </w:pPr>
    </w:p>
    <w:p w:rsidR="00400C62" w:rsidRDefault="00400C62" w:rsidP="004327EE">
      <w:pPr>
        <w:ind w:firstLine="709"/>
        <w:jc w:val="center"/>
        <w:rPr>
          <w:b/>
        </w:rPr>
      </w:pPr>
    </w:p>
    <w:p w:rsidR="00400C62" w:rsidRDefault="00400C62" w:rsidP="004327EE">
      <w:pPr>
        <w:ind w:firstLine="709"/>
        <w:jc w:val="center"/>
        <w:rPr>
          <w:b/>
        </w:rPr>
      </w:pPr>
    </w:p>
    <w:p w:rsidR="00400C62" w:rsidRDefault="00400C62" w:rsidP="004327EE">
      <w:pPr>
        <w:ind w:firstLine="709"/>
        <w:jc w:val="center"/>
        <w:rPr>
          <w:b/>
        </w:rPr>
      </w:pPr>
    </w:p>
    <w:p w:rsidR="00400C62" w:rsidRDefault="00400C62" w:rsidP="004327EE">
      <w:pPr>
        <w:ind w:firstLine="709"/>
        <w:jc w:val="center"/>
        <w:rPr>
          <w:b/>
        </w:rPr>
      </w:pPr>
    </w:p>
    <w:p w:rsidR="00400C62" w:rsidRDefault="00400C62" w:rsidP="004327EE">
      <w:pPr>
        <w:ind w:firstLine="709"/>
        <w:jc w:val="center"/>
        <w:rPr>
          <w:b/>
        </w:rPr>
      </w:pPr>
    </w:p>
    <w:p w:rsidR="00400C62" w:rsidRPr="00F743B2" w:rsidRDefault="00400C62" w:rsidP="004327EE">
      <w:pPr>
        <w:ind w:firstLine="709"/>
        <w:jc w:val="center"/>
        <w:rPr>
          <w:b/>
        </w:rPr>
      </w:pPr>
    </w:p>
    <w:p w:rsidR="009F0177" w:rsidRPr="00F743B2" w:rsidRDefault="009F0177" w:rsidP="004327EE">
      <w:pPr>
        <w:ind w:firstLine="709"/>
        <w:jc w:val="center"/>
        <w:rPr>
          <w:b/>
        </w:rPr>
      </w:pPr>
    </w:p>
    <w:p w:rsidR="00C27ED0" w:rsidRPr="00AB26AD" w:rsidRDefault="00CA0619" w:rsidP="004327EE">
      <w:pPr>
        <w:ind w:firstLine="709"/>
        <w:jc w:val="center"/>
        <w:rPr>
          <w:b/>
          <w:sz w:val="26"/>
          <w:szCs w:val="26"/>
        </w:rPr>
      </w:pPr>
      <w:r w:rsidRPr="00AB26AD">
        <w:rPr>
          <w:b/>
          <w:sz w:val="26"/>
          <w:szCs w:val="26"/>
        </w:rPr>
        <w:t>ГОДОВОЙ ДОКЛАД</w:t>
      </w:r>
      <w:r w:rsidR="00B93D84" w:rsidRPr="00AB26AD">
        <w:rPr>
          <w:b/>
          <w:sz w:val="26"/>
          <w:szCs w:val="26"/>
        </w:rPr>
        <w:t xml:space="preserve"> </w:t>
      </w:r>
      <w:r w:rsidRPr="00AB26AD">
        <w:rPr>
          <w:b/>
          <w:sz w:val="26"/>
          <w:szCs w:val="26"/>
        </w:rPr>
        <w:t xml:space="preserve">О ХОДЕ РЕАЛИЗАЦИИ </w:t>
      </w:r>
      <w:r w:rsidR="00375924">
        <w:rPr>
          <w:b/>
          <w:sz w:val="26"/>
          <w:szCs w:val="26"/>
        </w:rPr>
        <w:t>ГОСУДАРСТВЕННОЙ ПРОГРАММЫ ЧУВАШСКОЙ РЕСПУБЛИКИ «ЭКОНОМИЧЕСКОЕ РАЗВИТИЕ ЧУВАШСКОЙ РЕСПУБЛИКИ»</w:t>
      </w:r>
    </w:p>
    <w:p w:rsidR="00CA0619" w:rsidRPr="00AB26AD" w:rsidRDefault="00CA0619" w:rsidP="004327EE">
      <w:pPr>
        <w:ind w:firstLine="709"/>
        <w:jc w:val="center"/>
        <w:rPr>
          <w:b/>
          <w:sz w:val="26"/>
          <w:szCs w:val="26"/>
        </w:rPr>
      </w:pPr>
      <w:r w:rsidRPr="00AB26AD">
        <w:rPr>
          <w:b/>
          <w:sz w:val="26"/>
          <w:szCs w:val="26"/>
        </w:rPr>
        <w:t>ЗА 2024 ГОД</w:t>
      </w:r>
    </w:p>
    <w:p w:rsidR="000C5CDE" w:rsidRPr="00AB26AD" w:rsidRDefault="000C5CDE" w:rsidP="00431731">
      <w:pPr>
        <w:pStyle w:val="aff2"/>
        <w:ind w:left="0" w:firstLine="709"/>
        <w:jc w:val="both"/>
        <w:rPr>
          <w:iCs/>
          <w:sz w:val="26"/>
          <w:szCs w:val="26"/>
        </w:rPr>
      </w:pPr>
    </w:p>
    <w:p w:rsidR="00874779" w:rsidRPr="00AB26AD" w:rsidRDefault="00874779" w:rsidP="00EF1EE6">
      <w:pPr>
        <w:ind w:left="-142" w:firstLine="851"/>
        <w:jc w:val="both"/>
      </w:pPr>
      <w:r w:rsidRPr="00AB26AD">
        <w:rPr>
          <w:rFonts w:eastAsia="PT Astra Serif"/>
        </w:rPr>
        <w:t xml:space="preserve">В рамках реализации индивидуальной программы социально-экономического развития Чувашской Республики на 2020 - 2024 годы, утвержденной распоряжением Правительства Российской Федерации от 3 апреля 2020 года № 865-р, завершено строительство инфраструктуры государственных индустриальных парков в г. Новочебоксарске и </w:t>
      </w:r>
      <w:proofErr w:type="spellStart"/>
      <w:r w:rsidRPr="00AB26AD">
        <w:rPr>
          <w:rFonts w:eastAsia="PT Astra Serif"/>
        </w:rPr>
        <w:t>Батыревском</w:t>
      </w:r>
      <w:proofErr w:type="spellEnd"/>
      <w:r w:rsidRPr="00AB26AD">
        <w:rPr>
          <w:rFonts w:eastAsia="PT Astra Serif"/>
        </w:rPr>
        <w:t xml:space="preserve"> муниципальном округе.</w:t>
      </w:r>
    </w:p>
    <w:p w:rsidR="00874779" w:rsidRPr="00AB26AD" w:rsidRDefault="00874779" w:rsidP="00EF1EE6">
      <w:pPr>
        <w:ind w:left="-142" w:firstLine="851"/>
        <w:jc w:val="both"/>
      </w:pPr>
      <w:r w:rsidRPr="00AB26AD">
        <w:rPr>
          <w:rFonts w:eastAsia="PT Astra Serif"/>
        </w:rPr>
        <w:t xml:space="preserve">Индустриальный парк в г. Новочебоксарска выступает государственной площадкой ОЭЗ ППТ «Новочебоксарск». </w:t>
      </w:r>
    </w:p>
    <w:p w:rsidR="00874779" w:rsidRPr="00AB26AD" w:rsidRDefault="00874779" w:rsidP="00EF1EE6">
      <w:pPr>
        <w:ind w:left="-142" w:firstLine="851"/>
        <w:jc w:val="both"/>
      </w:pPr>
      <w:r w:rsidRPr="00AB26AD">
        <w:rPr>
          <w:rFonts w:eastAsia="PT Astra Serif"/>
        </w:rPr>
        <w:t>В настоящее время в индустриальном парке в г. Новочебоксарске зарегистрировано 3 резидента - ООО «Авиатор», ООО «Управляющая компания «Индустриальный парк «</w:t>
      </w:r>
      <w:proofErr w:type="spellStart"/>
      <w:r w:rsidRPr="00AB26AD">
        <w:rPr>
          <w:rFonts w:eastAsia="PT Astra Serif"/>
        </w:rPr>
        <w:t>Сеспель</w:t>
      </w:r>
      <w:proofErr w:type="spellEnd"/>
      <w:r w:rsidRPr="00AB26AD">
        <w:rPr>
          <w:rFonts w:eastAsia="PT Astra Serif"/>
        </w:rPr>
        <w:t xml:space="preserve">» </w:t>
      </w:r>
      <w:proofErr w:type="gramStart"/>
      <w:r w:rsidRPr="00AB26AD">
        <w:rPr>
          <w:rFonts w:eastAsia="PT Astra Serif"/>
        </w:rPr>
        <w:t>и ООО</w:t>
      </w:r>
      <w:proofErr w:type="gramEnd"/>
      <w:r w:rsidRPr="00AB26AD">
        <w:rPr>
          <w:rFonts w:eastAsia="PT Astra Serif"/>
        </w:rPr>
        <w:t xml:space="preserve"> «</w:t>
      </w:r>
      <w:proofErr w:type="spellStart"/>
      <w:r w:rsidRPr="00AB26AD">
        <w:rPr>
          <w:rFonts w:eastAsia="PT Astra Serif"/>
        </w:rPr>
        <w:t>ИнтерЭнерго</w:t>
      </w:r>
      <w:proofErr w:type="spellEnd"/>
      <w:r w:rsidRPr="00AB26AD">
        <w:rPr>
          <w:rFonts w:eastAsia="PT Astra Serif"/>
        </w:rPr>
        <w:t xml:space="preserve">». В индустриальном парке в </w:t>
      </w:r>
      <w:proofErr w:type="spellStart"/>
      <w:r w:rsidRPr="00AB26AD">
        <w:rPr>
          <w:rFonts w:eastAsia="PT Astra Serif"/>
        </w:rPr>
        <w:t>Батыревском</w:t>
      </w:r>
      <w:proofErr w:type="spellEnd"/>
      <w:r w:rsidRPr="00AB26AD">
        <w:rPr>
          <w:rFonts w:eastAsia="PT Astra Serif"/>
        </w:rPr>
        <w:t xml:space="preserve"> муниципальном округе </w:t>
      </w:r>
      <w:proofErr w:type="gramStart"/>
      <w:r w:rsidRPr="00AB26AD">
        <w:rPr>
          <w:rFonts w:eastAsia="PT Astra Serif"/>
        </w:rPr>
        <w:t>намерены</w:t>
      </w:r>
      <w:proofErr w:type="gramEnd"/>
      <w:r w:rsidRPr="00AB26AD">
        <w:rPr>
          <w:rFonts w:eastAsia="PT Astra Serif"/>
        </w:rPr>
        <w:t xml:space="preserve"> осуществлять свою деятельность 7 потенциальных резидентов.</w:t>
      </w:r>
    </w:p>
    <w:p w:rsidR="00874779" w:rsidRPr="00AB26AD" w:rsidRDefault="00874779" w:rsidP="00EF1EE6">
      <w:pPr>
        <w:ind w:left="-142" w:firstLine="851"/>
        <w:jc w:val="both"/>
      </w:pPr>
      <w:r w:rsidRPr="00AB26AD">
        <w:t xml:space="preserve">Отдел развития предпринимательства Минэкономразвития Чувашии является ответственным исполнителем показателей ведомственного проекта «Поддержка субъектов малого и среднего предпринимательства в Чувашской Республике в рамках </w:t>
      </w:r>
      <w:proofErr w:type="gramStart"/>
      <w:r w:rsidRPr="00AB26AD">
        <w:t>реализации мероприятий индивидуальной программы социально-экономического развития Чувашской Республики</w:t>
      </w:r>
      <w:proofErr w:type="gramEnd"/>
      <w:r w:rsidRPr="00AB26AD">
        <w:t xml:space="preserve"> на 2020 - 2024 годы»:</w:t>
      </w:r>
    </w:p>
    <w:p w:rsidR="00874779" w:rsidRPr="00AB26AD" w:rsidRDefault="00874779" w:rsidP="00EF1EE6">
      <w:pPr>
        <w:pStyle w:val="a3"/>
        <w:numPr>
          <w:ilvl w:val="0"/>
          <w:numId w:val="17"/>
        </w:numPr>
        <w:ind w:left="-142" w:firstLine="851"/>
        <w:jc w:val="both"/>
      </w:pPr>
      <w:r w:rsidRPr="00AB26AD">
        <w:t>«Количество созданных постоянных рабочих мест», по итогам 2024 года фактическое значение составило 295 единиц, что на 1,7% больше установленного плана (290 единиц).</w:t>
      </w:r>
    </w:p>
    <w:p w:rsidR="00874779" w:rsidRPr="00AB26AD" w:rsidRDefault="00874779" w:rsidP="00EF1EE6">
      <w:pPr>
        <w:ind w:left="-142" w:firstLine="851"/>
        <w:jc w:val="both"/>
      </w:pPr>
      <w:r w:rsidRPr="00AB26AD">
        <w:t>«Объем привлеченных инвестиций в основной капитал (без бюджетных инвестиций)», по итогам 2024 года фактическое значение составило 1 378 млн. рублей, что на 72,3% больше установленного плана (800 млн. рублей).</w:t>
      </w:r>
    </w:p>
    <w:p w:rsidR="00EB6192" w:rsidRPr="00AB26AD" w:rsidRDefault="00EB6192" w:rsidP="00EF1EE6">
      <w:pPr>
        <w:ind w:left="-142" w:firstLine="851"/>
        <w:jc w:val="both"/>
      </w:pPr>
      <w:r w:rsidRPr="00AB26AD">
        <w:t>На официальном сайте Минэкономразвития Чувашии в информационно-телекоммуникационной сети «Интернет» ежемесячно размещаются результаты мониторинга социально-экономического развития Чувашской Республики (в виде таблицы) и ежеквартально (в виде расширенной справки), ежеквартально основные показатели социально-экономического развития Чувашской Республики в сравнении с Россией (в виде таблицы).</w:t>
      </w:r>
    </w:p>
    <w:p w:rsidR="00EB6192" w:rsidRPr="00AB26AD" w:rsidRDefault="00EB6192" w:rsidP="00EF1EE6">
      <w:pPr>
        <w:ind w:left="-142" w:firstLine="851"/>
        <w:jc w:val="both"/>
      </w:pPr>
      <w:r w:rsidRPr="00AB26AD">
        <w:t xml:space="preserve">Ежемесячно на еженедельной планерке у Главы Чувашской Республики  с участием глав муниципальных образований Чувашской Республики обсуждаются предварительные итоги социально-экономического развития Чувашской Республики, где выявляются тренды регионального развития в динамике  и на уровне регионов Приволжского Федерального округа, фиксируются проблемы регионального развития. </w:t>
      </w:r>
    </w:p>
    <w:p w:rsidR="00EB6192" w:rsidRPr="00AB26AD" w:rsidRDefault="00EB6192" w:rsidP="00EF1EE6">
      <w:pPr>
        <w:ind w:left="-142" w:firstLine="851"/>
        <w:jc w:val="both"/>
      </w:pPr>
      <w:r w:rsidRPr="00AB26AD">
        <w:t xml:space="preserve">Распоряжением Кабинета Министров Чувашской Республики от 28.06.2024 № 644-р «Об одобрении прогноза социально-экономического развития Чувашской Республики на </w:t>
      </w:r>
      <w:r w:rsidRPr="00AB26AD">
        <w:lastRenderedPageBreak/>
        <w:t xml:space="preserve">2025 – 2027 годы» (ред. от 10.12.2024) одобрен прогноз социально-экономического развития Чувашской Республики на 2025–2027 годы. </w:t>
      </w:r>
    </w:p>
    <w:p w:rsidR="00EB6192" w:rsidRPr="00AB26AD" w:rsidRDefault="00EB6192" w:rsidP="00EF1EE6">
      <w:pPr>
        <w:ind w:left="-142" w:firstLine="851"/>
        <w:jc w:val="both"/>
      </w:pPr>
      <w:r w:rsidRPr="00AB26AD">
        <w:t>Основные показатели прогноза социально-экономического развития Чувашской Республики на 2025–2027 годы (форма 2п) с пояснительной запиской (I этап) направлены в Минэкономразвития России письмом от 5 июля 2024 г. № 03/1/07-10757. Уточненный прогноз социально-экономического развития Чувашской Республики на 2025–2027 годы (II этап) направлен в Минэкономразвития России письмом от 8 ноября 2024 г. № 03/07-18278. Одновременно данные по I и II этапам прогноза представлены в Минэкономразвития России посредством государственной автоматизированной информационной системы «Управление».</w:t>
      </w:r>
    </w:p>
    <w:p w:rsidR="00EB6192" w:rsidRPr="00AB26AD" w:rsidRDefault="00EB6192" w:rsidP="00EF1EE6">
      <w:pPr>
        <w:ind w:left="-142" w:firstLine="851"/>
        <w:jc w:val="both"/>
      </w:pPr>
      <w:r w:rsidRPr="00AB26AD">
        <w:t>Кроме того, прогнозы социально-экономического развития Чувашской Республики на среднесрочный период размещены на официальном сайте Минэкономразвития Чувашии в информационно-телекоммуникационной сети «Интернет».</w:t>
      </w:r>
    </w:p>
    <w:p w:rsidR="00EB6192" w:rsidRPr="00AB26AD" w:rsidRDefault="00EB6192" w:rsidP="00EF1EE6">
      <w:pPr>
        <w:ind w:left="-142" w:firstLine="851"/>
        <w:jc w:val="both"/>
      </w:pPr>
      <w:r w:rsidRPr="00AB26AD">
        <w:t>В рамках оказания Территориальным органом Федеральной службы государственной статистики по Чувашской Республике (</w:t>
      </w:r>
      <w:proofErr w:type="spellStart"/>
      <w:r w:rsidRPr="00AB26AD">
        <w:t>Чувашстат</w:t>
      </w:r>
      <w:proofErr w:type="spellEnd"/>
      <w:r w:rsidRPr="00AB26AD">
        <w:t>) информационных услуг для государственных нужд Чувашской Республики заключен государственный контракт от 26 января 2024 года № 1 на оказание информационных услуг для государственных нужд Чувашской Республики.</w:t>
      </w:r>
    </w:p>
    <w:p w:rsidR="00EB6192" w:rsidRPr="00AB26AD" w:rsidRDefault="00EB6192" w:rsidP="00EF1EE6">
      <w:pPr>
        <w:ind w:left="-142" w:firstLine="851"/>
        <w:jc w:val="both"/>
      </w:pPr>
      <w:r w:rsidRPr="00AB26AD">
        <w:t>Комплексная программа социально-экономического развития Чувашской Республики на 2025–2030 годы (далее – Комплексная программа) одобрена распоряжением Кабинета Министров Чувашской Республики от 28 декабря 2024 г. № 1445-р.</w:t>
      </w:r>
    </w:p>
    <w:p w:rsidR="00EB6192" w:rsidRPr="00AB26AD" w:rsidRDefault="00EB6192" w:rsidP="00EF1EE6">
      <w:pPr>
        <w:ind w:left="-142" w:firstLine="851"/>
        <w:jc w:val="both"/>
      </w:pPr>
      <w:proofErr w:type="gramStart"/>
      <w:r w:rsidRPr="00AB26AD">
        <w:t>Комплексная программа - масштабный межведомственный документ регионального стратегического планирования, который определит вектор и конкретные действия по развитию Чувашской Республики на ближайшие 6 лет.</w:t>
      </w:r>
      <w:proofErr w:type="gramEnd"/>
    </w:p>
    <w:p w:rsidR="00EB6192" w:rsidRPr="00AB26AD" w:rsidRDefault="00EB6192" w:rsidP="00EF1EE6">
      <w:pPr>
        <w:ind w:left="-142" w:firstLine="851"/>
        <w:jc w:val="both"/>
      </w:pPr>
      <w:r w:rsidRPr="00AB26AD">
        <w:t xml:space="preserve">Для обеспечения качественной и своевременной разработки Комплексной программы заключен государственный контракт № 10 от 23.10.2024 г. на выполнение научно-исследовательской работы «Разработка Комплексной программы социально-экономического развития Чувашской Республики на 2025-2030 годы» (далее – государственный контракт). Государственный контракт исполнен в полном объеме в установленные сроки. </w:t>
      </w:r>
    </w:p>
    <w:p w:rsidR="00EB6192" w:rsidRPr="00AB26AD" w:rsidRDefault="00EB6192" w:rsidP="00EF1EE6">
      <w:pPr>
        <w:ind w:left="-142" w:firstLine="851"/>
        <w:jc w:val="both"/>
      </w:pPr>
      <w:proofErr w:type="gramStart"/>
      <w:r w:rsidRPr="00AB26AD">
        <w:t>В рамках разработки Комплексной программы проделана глубокая аналитическая и комплексная проектная работа, как на уровне региона, так и территорий - муниципальных образований: проведен анализ и интегрированы на уровень региона 28 лучших мировых и отраслевых практик, проведен аудит свыше 2000 инвестиционных и инфраструктурных проектов, в разрезе 25 отраслевых направлений сформированы 120 трендов регионального развития, определены на основе системного анализа экономического и инфраструктурного</w:t>
      </w:r>
      <w:proofErr w:type="gramEnd"/>
      <w:r w:rsidRPr="00AB26AD">
        <w:t xml:space="preserve"> потенциала муниципалитетов их проблемные зоны и точки  роста, сформирована кластерная модель пространственного развития региона.</w:t>
      </w:r>
    </w:p>
    <w:p w:rsidR="00EB6192" w:rsidRPr="00AB26AD" w:rsidRDefault="00EB6192" w:rsidP="00EF1EE6">
      <w:pPr>
        <w:ind w:left="-142" w:firstLine="851"/>
        <w:jc w:val="both"/>
      </w:pPr>
      <w:r w:rsidRPr="00AB26AD">
        <w:t xml:space="preserve">Подходы и методология разработки Комплексной программы включили в себя: социологический опрос; сбор инициатив от населения; 4 стратегические сессии; 23 </w:t>
      </w:r>
      <w:proofErr w:type="gramStart"/>
      <w:r w:rsidRPr="00AB26AD">
        <w:t>фокус-группы</w:t>
      </w:r>
      <w:proofErr w:type="gramEnd"/>
      <w:r w:rsidRPr="00AB26AD">
        <w:t>; более 50 экспертных интервью; 2 проектные сессии с бизнесом и научным сообществом.</w:t>
      </w:r>
    </w:p>
    <w:p w:rsidR="00EB6192" w:rsidRPr="00AB26AD" w:rsidRDefault="00EB6192" w:rsidP="00EF1EE6">
      <w:pPr>
        <w:ind w:left="-142" w:firstLine="851"/>
        <w:jc w:val="both"/>
      </w:pPr>
      <w:r w:rsidRPr="00AB26AD">
        <w:t>С целью повышения информированности и качества принимаемых решений при разработке Комплексной программы для максимально широкого вовлечения населения было проведен опрос общественного мнения о приоритетах развития региона и сбор инициатив, предложений и пожеланий на региональной цифровой платформе. В опросе приняли участие более  23 400 человек, от населения поступила 891 инициатива.</w:t>
      </w:r>
    </w:p>
    <w:p w:rsidR="00EB6192" w:rsidRPr="00AB26AD" w:rsidRDefault="00EB6192" w:rsidP="00EF1EE6">
      <w:pPr>
        <w:ind w:left="-142" w:firstLine="851"/>
        <w:jc w:val="both"/>
      </w:pPr>
      <w:r w:rsidRPr="00AB26AD">
        <w:t xml:space="preserve">Комплексная программа построена по территориально-отраслевому принципу, проработана с точки зрения реализации проектов и мероприятий в каждом муниципальном образовании республики. Ее особенность - выделение нескольких групп проектов, взаимоувязанных между собой. В состав Комплексной программы вошли 33 мега-проекта, </w:t>
      </w:r>
      <w:r w:rsidRPr="00AB26AD">
        <w:lastRenderedPageBreak/>
        <w:t xml:space="preserve">40 проектов-драйверов муниципалитетов, около 620 инвестиционных проектов, около 2,4 тыс. инфраструктурных проектов. </w:t>
      </w:r>
    </w:p>
    <w:p w:rsidR="004B14D5" w:rsidRPr="00AB26AD" w:rsidRDefault="00EB6192" w:rsidP="00EF1EE6">
      <w:pPr>
        <w:ind w:left="-142" w:firstLine="851"/>
        <w:jc w:val="both"/>
      </w:pPr>
      <w:r w:rsidRPr="00AB26AD">
        <w:t>25 декабря 2024 года состоялось совместное заседание Высшего экономического совета Чувашской Республики и Общественной палаты Чувашской Республики, в рамках которого прошла презентация Комплексной программы.</w:t>
      </w:r>
    </w:p>
    <w:p w:rsidR="007C7340" w:rsidRPr="00AB26AD" w:rsidRDefault="007C7340" w:rsidP="00EF1EE6">
      <w:pPr>
        <w:ind w:left="-142" w:firstLine="851"/>
        <w:jc w:val="both"/>
      </w:pPr>
      <w:r w:rsidRPr="00AB26AD">
        <w:t xml:space="preserve">В рамках реализации мероприятия министерством проводится работа по консультативной и методической помощи по вопросам внедрения Стандарта развития конкуренции в субъектах Российской Федерации (далее – Стандарт), в том числе реализации составляющих Стандарта, достижению целей и соблюдению принципов внедрения Стандарта. </w:t>
      </w:r>
    </w:p>
    <w:p w:rsidR="007C7340" w:rsidRPr="00AB26AD" w:rsidRDefault="007C7340" w:rsidP="00EF1EE6">
      <w:pPr>
        <w:ind w:left="-142" w:firstLine="851"/>
        <w:jc w:val="both"/>
      </w:pPr>
      <w:r w:rsidRPr="00AB26AD">
        <w:t>6 марта 2024 г. проведено заседание рабочей группы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w:t>
      </w:r>
    </w:p>
    <w:p w:rsidR="007C7340" w:rsidRPr="00AB26AD" w:rsidRDefault="007C7340" w:rsidP="00EF1EE6">
      <w:pPr>
        <w:ind w:left="-142" w:firstLine="851"/>
        <w:jc w:val="both"/>
      </w:pPr>
      <w:r w:rsidRPr="00AB26AD">
        <w:t>22-23 мая 2024 г. представители республики и администраций отдельных муниципальных округов (далее – МО) приняли участие в работе ежегодного семинара-совещания по вопросам развития конкуренции в субъектах Российской Федерации в       г. Казань.</w:t>
      </w:r>
    </w:p>
    <w:p w:rsidR="007C7340" w:rsidRPr="00AB26AD" w:rsidRDefault="007C7340" w:rsidP="00EF1EE6">
      <w:pPr>
        <w:ind w:left="-142" w:firstLine="851"/>
        <w:jc w:val="both"/>
      </w:pPr>
      <w:r w:rsidRPr="00AB26AD">
        <w:t xml:space="preserve">10 июня 2024 г. проведен семинар-совещание и заседание рабочей группы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 по вопросам практики применения антимонопольного законодательства в органах местного самоуправления Чувашской Республики. Участники: 42 представителя исполнительных органов и  специалистов органов местного самоуправления. С участниками семинара обсуждены итоги рейтинга значений показателя деятельности муниципальных и городских округов Чувашской Республики по содействию развитию конкуренции в рамках стандарта развития конкуренции в субъектах Российской Федерации за 2023 год. По итогам рейтинга за 2023 год первое место заняла администрация </w:t>
      </w:r>
      <w:proofErr w:type="spellStart"/>
      <w:r w:rsidRPr="00AB26AD">
        <w:t>Яльчикского</w:t>
      </w:r>
      <w:proofErr w:type="spellEnd"/>
      <w:r w:rsidRPr="00AB26AD">
        <w:t xml:space="preserve"> МО, второе место – Чебоксарский МО, третье место - </w:t>
      </w:r>
      <w:proofErr w:type="spellStart"/>
      <w:r w:rsidRPr="00AB26AD">
        <w:t>Цивильский</w:t>
      </w:r>
      <w:proofErr w:type="spellEnd"/>
      <w:r w:rsidRPr="00AB26AD">
        <w:t xml:space="preserve"> МО. Среди городов первое место заняла администрация г. Чебоксары, второе место – г. Новочебоксарск, г. Канаш занял третье место.</w:t>
      </w:r>
    </w:p>
    <w:p w:rsidR="007C7340" w:rsidRPr="00AB26AD" w:rsidRDefault="007C7340" w:rsidP="00EF1EE6">
      <w:pPr>
        <w:ind w:left="-142" w:firstLine="851"/>
        <w:jc w:val="both"/>
      </w:pPr>
      <w:r w:rsidRPr="00AB26AD">
        <w:t>В 4 кв. 2024 г. проведены социологическое исследование и опросы предпринимателей и населения Чувашской Республики, включающие мониторинг административных барьеров и оценки состояния конкурентной среды субъектами предпринимательской деятельности, удовлетворенности потребителей качеством товаров и услуг на товарных рынках в Чувашской Республике и состоянием ценовой конкуренции.</w:t>
      </w:r>
    </w:p>
    <w:p w:rsidR="007C7340" w:rsidRPr="00AB26AD" w:rsidRDefault="007C7340" w:rsidP="00EF1EE6">
      <w:pPr>
        <w:ind w:left="-142" w:firstLine="851"/>
        <w:jc w:val="both"/>
      </w:pPr>
      <w:r w:rsidRPr="00AB26AD">
        <w:t xml:space="preserve">В опросе приняло участие 1500 представителей </w:t>
      </w:r>
      <w:proofErr w:type="gramStart"/>
      <w:r w:rsidRPr="00AB26AD">
        <w:t>бизнес-сообщества</w:t>
      </w:r>
      <w:proofErr w:type="gramEnd"/>
      <w:r w:rsidRPr="00AB26AD">
        <w:t xml:space="preserve"> Чувашской Республики, из них 419 функционируют в городских округах (27,9%) и 1081 в МО (72,1%)  и 6700 жителей республики по всем городским и МО.</w:t>
      </w:r>
    </w:p>
    <w:p w:rsidR="007C7340" w:rsidRPr="00AB26AD" w:rsidRDefault="007C7340" w:rsidP="00EF1EE6">
      <w:pPr>
        <w:ind w:left="-142" w:firstLine="851"/>
        <w:jc w:val="both"/>
      </w:pPr>
      <w:r w:rsidRPr="00AB26AD">
        <w:t>В соответствии с постановлением Кабинета Министров Чувашской Республики от 29 ноября 2012 года №532 «О проведении оценки регулирующего воздействия проектов нормативных правовых актов Чувашской Республики» (далее – постановление № 532) в 2024 году продолжалось применение процедуры  ОРВ всеми исполнительными органами Чувашской Республики. Минэкономразвития Чувашии подготовлено 134 заключения об ОРВ к сводным отчетам об ОРВ.</w:t>
      </w:r>
    </w:p>
    <w:p w:rsidR="007C7340" w:rsidRPr="00AB26AD" w:rsidRDefault="007C7340" w:rsidP="00EF1EE6">
      <w:pPr>
        <w:ind w:left="-142" w:firstLine="851"/>
        <w:jc w:val="both"/>
      </w:pPr>
      <w:r w:rsidRPr="00AB26AD">
        <w:t>Публичные консультации с субъектами предпринимательской и инвестиционной деятельности проведены в отношении 80 проектов нормативных правовых актов Чувашской Республики (далее – проекты актов).</w:t>
      </w:r>
    </w:p>
    <w:p w:rsidR="007C7340" w:rsidRPr="00AB26AD" w:rsidRDefault="007C7340" w:rsidP="00EF1EE6">
      <w:pPr>
        <w:ind w:left="-142" w:firstLine="851"/>
        <w:jc w:val="both"/>
      </w:pPr>
      <w:r w:rsidRPr="00AB26AD">
        <w:t xml:space="preserve">В процессе публичных консультаций к рассмотрению проектов актов привлечено более 4,7 тыс. участников, поступило 1,1 тыс. отзывов или 23,1% от общего числа участников. В среднем на 1 проект акта поступило 13,5 отзывов. </w:t>
      </w:r>
    </w:p>
    <w:p w:rsidR="007C7340" w:rsidRPr="00AB26AD" w:rsidRDefault="007C7340" w:rsidP="00EF1EE6">
      <w:pPr>
        <w:ind w:left="-142" w:firstLine="851"/>
        <w:jc w:val="both"/>
      </w:pPr>
      <w:r w:rsidRPr="00AB26AD">
        <w:lastRenderedPageBreak/>
        <w:t>В ходе ОРВ исключены избыточные обязанности и ограничения в 22 проектах актов, в 1 проекте акта уточнен срок его действия (6 лет) в связи с вводимыми обязательными требованиями для бизнеса. Эффекты от проведения ОРВ оценены в объеме 120,0 млн. рублей. В 2024 году проведено два заседания рабочей группы  по вопросам ОРВ в Чувашской Республике и 5 обучающих семинаров для специалистов исполнительных органов и органов местного самоуправления.</w:t>
      </w:r>
    </w:p>
    <w:p w:rsidR="007C7340" w:rsidRPr="00AB26AD" w:rsidRDefault="007C7340" w:rsidP="00EF1EE6">
      <w:pPr>
        <w:widowControl w:val="0"/>
        <w:ind w:left="-142" w:firstLine="851"/>
        <w:contextualSpacing/>
        <w:jc w:val="both"/>
      </w:pPr>
      <w:r w:rsidRPr="00AB26AD">
        <w:t xml:space="preserve">В 2024 году разработаны новые и внесены изменения в ряд действующих законодательных и нормативных правовых актов Чувашской Республики, направленных на развитие сферы потребительского рынка:  </w:t>
      </w:r>
    </w:p>
    <w:p w:rsidR="007C7340" w:rsidRPr="00AB26AD" w:rsidRDefault="007C7340" w:rsidP="00EF1EE6">
      <w:pPr>
        <w:widowControl w:val="0"/>
        <w:ind w:left="-142" w:firstLine="851"/>
        <w:contextualSpacing/>
        <w:jc w:val="both"/>
      </w:pPr>
      <w:r w:rsidRPr="00AB26AD">
        <w:t>постановление Кабинета Министров Чувашской Республики от 27.03.2024 г. № 136 «О внесении изменений в Постановление Кабинета Министров Чувашской Республики от 26.08.2010 № 277» (изменения в Порядок организации ярмарок на территории Чувашской Республики и продажи товаров (выполнения работ, оказания услуг) на них);</w:t>
      </w:r>
    </w:p>
    <w:p w:rsidR="007C7340" w:rsidRPr="00AB26AD" w:rsidRDefault="007C7340" w:rsidP="00EF1EE6">
      <w:pPr>
        <w:widowControl w:val="0"/>
        <w:ind w:left="-142" w:firstLine="851"/>
        <w:contextualSpacing/>
        <w:jc w:val="both"/>
      </w:pPr>
      <w:r w:rsidRPr="00AB26AD">
        <w:t>постановление Кабинета Министров Чувашской Республики от 28.08.2024 г. № 498 «О внесении изменений в Постановление Кабинета Министров Чувашской Республики от 04.05.2007 № 97» (изменения в Порядок организации и функционирования розничных рынков на территории Чувашской Республики);</w:t>
      </w:r>
    </w:p>
    <w:p w:rsidR="007C7340" w:rsidRPr="00AB26AD" w:rsidRDefault="007C7340" w:rsidP="00EF1EE6">
      <w:pPr>
        <w:widowControl w:val="0"/>
        <w:ind w:left="-142" w:firstLine="851"/>
        <w:contextualSpacing/>
        <w:jc w:val="both"/>
      </w:pPr>
      <w:r w:rsidRPr="00AB26AD">
        <w:t xml:space="preserve">распоряжение Главы Чувашской Республики </w:t>
      </w:r>
      <w:r w:rsidRPr="00AB26AD">
        <w:rPr>
          <w:color w:val="000000" w:themeColor="text1"/>
        </w:rPr>
        <w:t>от 20.05.2024 г. № 219-рг-354дсп</w:t>
      </w:r>
      <w:r w:rsidRPr="00AB26AD">
        <w:rPr>
          <w:color w:val="FF0000"/>
        </w:rPr>
        <w:t xml:space="preserve"> </w:t>
      </w:r>
      <w:r w:rsidRPr="00AB26AD">
        <w:t>об  актуализации перечня торговых объектов (территорий), расположенных в пределах территории Чувашской Республики и подлежащих категорированию в интересах их антитеррористической защиты»;</w:t>
      </w:r>
    </w:p>
    <w:p w:rsidR="007C7340" w:rsidRPr="00AB26AD" w:rsidRDefault="007C7340" w:rsidP="00EF1EE6">
      <w:pPr>
        <w:widowControl w:val="0"/>
        <w:ind w:left="-142" w:firstLine="851"/>
        <w:contextualSpacing/>
        <w:jc w:val="both"/>
      </w:pPr>
      <w:r w:rsidRPr="00AB26AD">
        <w:t>распоряжение Главы Чувашской Республики от 04.06.2024 г. № 252-рг о внесении изменений состав Координационного совета по защите прав потребителей при Главе Чувашской Республики;</w:t>
      </w:r>
    </w:p>
    <w:p w:rsidR="007C7340" w:rsidRPr="00AB26AD" w:rsidRDefault="007C7340" w:rsidP="00EF1EE6">
      <w:pPr>
        <w:widowControl w:val="0"/>
        <w:ind w:left="-142" w:firstLine="851"/>
        <w:contextualSpacing/>
        <w:jc w:val="both"/>
      </w:pPr>
      <w:r w:rsidRPr="00AB26AD">
        <w:t>приказ Минэкономразвития Чувашии</w:t>
      </w:r>
      <w:r w:rsidRPr="00AB26AD">
        <w:rPr>
          <w:color w:val="000000" w:themeColor="text1"/>
        </w:rPr>
        <w:t xml:space="preserve"> от 11.06.2024 г. № 97 </w:t>
      </w:r>
      <w:r w:rsidRPr="00AB26AD">
        <w:t>«О внесении изменений в приказ Минэкономразвития Чувашии от 16.11.2010 № 184» (в части уточнения схемы размещения нестационарных торговых объектов)</w:t>
      </w:r>
    </w:p>
    <w:p w:rsidR="007C7340" w:rsidRPr="00AB26AD" w:rsidRDefault="007C7340" w:rsidP="00EF1EE6">
      <w:pPr>
        <w:widowControl w:val="0"/>
        <w:ind w:left="-142" w:firstLine="851"/>
        <w:contextualSpacing/>
        <w:jc w:val="both"/>
      </w:pPr>
      <w:r w:rsidRPr="00AB26AD">
        <w:t>распоряжение Кабинета Министров Чувашской Республики от 02.07.2024 № 653-р об утверждении состава рабочей группы по подготовке и проведению Форума потребительской кооперации по должностям;</w:t>
      </w:r>
    </w:p>
    <w:p w:rsidR="007C7340" w:rsidRPr="00AB26AD" w:rsidRDefault="007C7340" w:rsidP="00EF1EE6">
      <w:pPr>
        <w:widowControl w:val="0"/>
        <w:ind w:left="-142" w:firstLine="851"/>
        <w:contextualSpacing/>
        <w:jc w:val="both"/>
      </w:pPr>
      <w:r w:rsidRPr="00AB26AD">
        <w:t>постановление Кабинета Министров Чувашской Республики от 27.11.2024 № 660 «О внесении изменений в постановление Кабинета Министров Чувашской Республики от 14.12.2016г. № 531 (рассчитаны новые нормативы минимальной обеспеченности населения Чувашской Республики площадью торговых объектов).</w:t>
      </w:r>
    </w:p>
    <w:p w:rsidR="007C7340" w:rsidRPr="00AB26AD" w:rsidRDefault="007C7340" w:rsidP="00EF1EE6">
      <w:pPr>
        <w:widowControl w:val="0"/>
        <w:ind w:left="-142" w:firstLine="851"/>
        <w:contextualSpacing/>
        <w:jc w:val="both"/>
      </w:pPr>
      <w:r w:rsidRPr="00AB26AD">
        <w:t xml:space="preserve">Сфера потребительского рынка и услуг остается </w:t>
      </w:r>
      <w:proofErr w:type="spellStart"/>
      <w:r w:rsidRPr="00AB26AD">
        <w:t>инвестиционно</w:t>
      </w:r>
      <w:proofErr w:type="spellEnd"/>
      <w:r w:rsidRPr="00AB26AD">
        <w:t xml:space="preserve"> привлекательной. В Чувашской Республике насчитывается более 6,9 тыс. объектов розничной торговли, 1098 объектов общественного питания и 2584 объектов бытового обслуживания. </w:t>
      </w:r>
    </w:p>
    <w:p w:rsidR="007C7340" w:rsidRPr="00AB26AD" w:rsidRDefault="007C7340" w:rsidP="00EF1EE6">
      <w:pPr>
        <w:widowControl w:val="0"/>
        <w:ind w:left="-142" w:firstLine="851"/>
        <w:contextualSpacing/>
        <w:jc w:val="both"/>
      </w:pPr>
      <w:r w:rsidRPr="00AB26AD">
        <w:t>В 2024 году открыто 330 и реконструировано 48 объектов потребительского рынка, что на 55 объектов больше чем в 2023 году. Из 330 открытых объектов 204 составляют объекты розничной торговли, 47  -  общественного питания и 79 -  бытового обслуживания. В г. Чебоксары открыты магазины торговых сетей «Магнит», «Чижик», «Пятерочка», «</w:t>
      </w:r>
      <w:proofErr w:type="spellStart"/>
      <w:r w:rsidRPr="00AB26AD">
        <w:t>Йола</w:t>
      </w:r>
      <w:proofErr w:type="spellEnd"/>
      <w:r w:rsidRPr="00AB26AD">
        <w:t>», «Победа», «Каравай», «</w:t>
      </w:r>
      <w:proofErr w:type="spellStart"/>
      <w:r w:rsidRPr="00AB26AD">
        <w:t>Санар</w:t>
      </w:r>
      <w:proofErr w:type="spellEnd"/>
      <w:r w:rsidRPr="00AB26AD">
        <w:t>», «</w:t>
      </w:r>
      <w:proofErr w:type="spellStart"/>
      <w:r w:rsidRPr="00AB26AD">
        <w:t>Smart</w:t>
      </w:r>
      <w:proofErr w:type="spellEnd"/>
      <w:r w:rsidRPr="00AB26AD">
        <w:t>». Почти во всех муниципальных образованиях увеличилось количество магазинов и предприятий, оказывающих услуги населению.  По итогам прошедшего года на открытых и отремонтированных объектах создано дополнительно 1493 рабочих места.</w:t>
      </w:r>
    </w:p>
    <w:p w:rsidR="007C7340" w:rsidRPr="00AB26AD" w:rsidRDefault="007C7340" w:rsidP="00EF1EE6">
      <w:pPr>
        <w:widowControl w:val="0"/>
        <w:ind w:left="-142" w:firstLine="851"/>
        <w:contextualSpacing/>
        <w:jc w:val="both"/>
      </w:pPr>
      <w:r w:rsidRPr="00AB26AD">
        <w:t xml:space="preserve"> В 2024 году проводились традиционные месячники по реализации сельскохозяйственной продукции «Весна» и «Дары осени», на которых жители республики могли приобрести качественные продукты непосредственно от местных </w:t>
      </w:r>
      <w:proofErr w:type="spellStart"/>
      <w:r w:rsidRPr="00AB26AD">
        <w:t>сельхозтоваропроизводителей</w:t>
      </w:r>
      <w:proofErr w:type="spellEnd"/>
      <w:r w:rsidRPr="00AB26AD">
        <w:t xml:space="preserve"> по доступным ценам.</w:t>
      </w:r>
    </w:p>
    <w:p w:rsidR="007C7340" w:rsidRPr="00AB26AD" w:rsidRDefault="007C7340" w:rsidP="00EF1EE6">
      <w:pPr>
        <w:widowControl w:val="0"/>
        <w:ind w:left="-142" w:firstLine="851"/>
        <w:contextualSpacing/>
        <w:jc w:val="both"/>
      </w:pPr>
      <w:r w:rsidRPr="00AB26AD">
        <w:t xml:space="preserve">Фактическая обеспеченность площадью стационарных торговых объектов по муниципальным и городским округам превышает рассчитанный норматив в 1,9 раза (на показатель повлияло большое количество торговых центров и комплексов в городах и </w:t>
      </w:r>
      <w:r w:rsidRPr="00AB26AD">
        <w:lastRenderedPageBreak/>
        <w:t xml:space="preserve">муниципальных округах республики). </w:t>
      </w:r>
    </w:p>
    <w:p w:rsidR="007C7340" w:rsidRPr="00AB26AD" w:rsidRDefault="007C7340" w:rsidP="00EF1EE6">
      <w:pPr>
        <w:widowControl w:val="0"/>
        <w:ind w:left="-142" w:firstLine="851"/>
        <w:contextualSpacing/>
        <w:jc w:val="both"/>
      </w:pPr>
      <w:r w:rsidRPr="00AB26AD">
        <w:t xml:space="preserve">В организациях розничной торговли продолжалась работа по привлечению покупателей путем проведения таких форм торговли, как распродажи, скидки, акции. </w:t>
      </w:r>
      <w:proofErr w:type="gramStart"/>
      <w:r w:rsidRPr="00AB26AD">
        <w:t xml:space="preserve">Политика сокращения административных барьеров при открытии объектов потребительского рынка позволила предоставить большинству жителей городов республики возможность выбора объектов различных форматов – от крупных торговых комплексов, гипермаркетов до магазинов «в шаговой доступности», широкий ассортимент товаров и услуг, различные формы расчетов (наличный и безналичный), формы обслуживания – через Интернет, доставка на дом по заявкам, </w:t>
      </w:r>
      <w:proofErr w:type="spellStart"/>
      <w:r w:rsidRPr="00AB26AD">
        <w:t>кейтеринговые</w:t>
      </w:r>
      <w:proofErr w:type="spellEnd"/>
      <w:r w:rsidRPr="00AB26AD">
        <w:t xml:space="preserve"> услуги и др.</w:t>
      </w:r>
      <w:proofErr w:type="gramEnd"/>
    </w:p>
    <w:p w:rsidR="007C7340" w:rsidRPr="00AB26AD" w:rsidRDefault="007C7340" w:rsidP="00EF1EE6">
      <w:pPr>
        <w:widowControl w:val="0"/>
        <w:ind w:left="-142" w:firstLine="851"/>
        <w:contextualSpacing/>
        <w:jc w:val="both"/>
      </w:pPr>
      <w:r w:rsidRPr="00AB26AD">
        <w:t>Развитая конкуренция в оптовой и розничной торговле влияет на формирование и сдерживание роста цен на основные виды товаров. Реализация комплекса мер по обеспечению сбалансированности товарных рынков в Чувашской Республике позволила Чувашской Республике, несмотря на рост цен на товары и услуги, сохранить среди регионов ПФО  и России низкий уровень цен на большинство социально значимых продовольственных товаров.</w:t>
      </w:r>
    </w:p>
    <w:p w:rsidR="007C7340" w:rsidRPr="00AB26AD" w:rsidRDefault="007C7340" w:rsidP="00EF1EE6">
      <w:pPr>
        <w:widowControl w:val="0"/>
        <w:ind w:left="-142" w:firstLine="851"/>
        <w:contextualSpacing/>
        <w:jc w:val="both"/>
      </w:pPr>
      <w:r w:rsidRPr="00AB26AD">
        <w:t xml:space="preserve">Увеличение доли розничных торговых сетей в общем объеме розничного товарооборота характеризует рост конкуренции в сфере торговли. Удельный вес сетевых торговых структур в общем объеме оборота розничной торговли в январе-октябре 2024 года возрос в сравнении с 2023 годом на 0,4 процентных пункта и составил 38,1 % (37,7% - 2023 г.). Торговые сети Чувашии представлены в основном фирменными магазинами товаропроизводителей и организациями системы потребительской кооперации </w:t>
      </w:r>
      <w:proofErr w:type="gramStart"/>
      <w:r w:rsidRPr="00AB26AD">
        <w:t>в</w:t>
      </w:r>
      <w:proofErr w:type="gramEnd"/>
      <w:r w:rsidRPr="00AB26AD">
        <w:t xml:space="preserve"> более 800 </w:t>
      </w:r>
      <w:proofErr w:type="gramStart"/>
      <w:r w:rsidRPr="00AB26AD">
        <w:t>объектов</w:t>
      </w:r>
      <w:proofErr w:type="gramEnd"/>
      <w:r w:rsidRPr="00AB26AD">
        <w:t>, федеральные и региональные торговые сети – в более чем 750 объектах торговли.</w:t>
      </w:r>
    </w:p>
    <w:p w:rsidR="007C7340" w:rsidRPr="00AB26AD" w:rsidRDefault="007C7340" w:rsidP="00EF1EE6">
      <w:pPr>
        <w:widowControl w:val="0"/>
        <w:ind w:left="-142" w:firstLine="851"/>
        <w:contextualSpacing/>
        <w:jc w:val="both"/>
      </w:pPr>
      <w:r w:rsidRPr="00AB26AD">
        <w:t>Оборот общественного питания в 2024 году составил 18918,8 млн. рублей, что в сопоставимых ценах на 8,7% больше уровня 2023 года. Оказание платных услуг населению составило 104,8% относительно  2023 года.</w:t>
      </w:r>
    </w:p>
    <w:p w:rsidR="007C7340" w:rsidRPr="00AB26AD" w:rsidRDefault="007C7340" w:rsidP="00EF1EE6">
      <w:pPr>
        <w:widowControl w:val="0"/>
        <w:ind w:left="-142" w:firstLine="851"/>
        <w:contextualSpacing/>
        <w:jc w:val="both"/>
      </w:pPr>
      <w:r w:rsidRPr="00AB26AD">
        <w:t>Общий оборот розничной торговли во всех каналах реализации в 2024 году составил 311390,2 млн. рублей, что в сопоставимых ценах на 11,6% больше уровня 2023 года.</w:t>
      </w:r>
    </w:p>
    <w:p w:rsidR="007C7340" w:rsidRPr="00AB26AD" w:rsidRDefault="007C7340" w:rsidP="00EF1EE6">
      <w:pPr>
        <w:widowControl w:val="0"/>
        <w:ind w:left="-142" w:firstLine="851"/>
        <w:contextualSpacing/>
        <w:jc w:val="both"/>
      </w:pPr>
      <w:r w:rsidRPr="00AB26AD">
        <w:t xml:space="preserve">Удельный вес продажи на розничных рынках и ярмарках в обороте розничной торговли составляет 1,5%, уменьшение на 1,6 процентных пункта относительно 2023 года. За 2024 год организовано 145 мест проведения ярмарок (больше на 11 ед., чем в 2023 г.), на которых проведено 6,4 тыс. ярмарок «выходного дня». В Красноармейском, и Чебоксарском МО в 2024 г. открыты фермерские торговые площадки для реализации сельскохозяйственной продукции малыми формами хозяйствования. Функционируют 3 розничных </w:t>
      </w:r>
      <w:proofErr w:type="gramStart"/>
      <w:r w:rsidRPr="00AB26AD">
        <w:t>рынка</w:t>
      </w:r>
      <w:proofErr w:type="gramEnd"/>
      <w:r w:rsidRPr="00AB26AD">
        <w:t xml:space="preserve"> на которых организовано 287 торговых мест. </w:t>
      </w:r>
    </w:p>
    <w:p w:rsidR="007C7340" w:rsidRPr="00AB26AD" w:rsidRDefault="007C7340" w:rsidP="00EF1EE6">
      <w:pPr>
        <w:widowControl w:val="0"/>
        <w:ind w:left="-142" w:firstLine="851"/>
        <w:contextualSpacing/>
        <w:jc w:val="both"/>
      </w:pPr>
      <w:r w:rsidRPr="00AB26AD">
        <w:t xml:space="preserve">В период проведения сезонных ярмарок на специальных торговых площадках предоставлялась возможность реализации сельскохозяйственной продукции через специальное торговое оборудование, а также с автотранспорта. Места для торговли предоставлялись на льготной основе и бесплатно. </w:t>
      </w:r>
    </w:p>
    <w:p w:rsidR="007C7340" w:rsidRPr="00AB26AD" w:rsidRDefault="007C7340" w:rsidP="00EF1EE6">
      <w:pPr>
        <w:widowControl w:val="0"/>
        <w:ind w:left="-142" w:firstLine="851"/>
        <w:contextualSpacing/>
        <w:jc w:val="both"/>
      </w:pPr>
      <w:r w:rsidRPr="00AB26AD">
        <w:t>В  целях развития конкуренции, малоформатной торговли, насыщения рынка продукцией местных производителей приняты следующие меры:</w:t>
      </w:r>
    </w:p>
    <w:p w:rsidR="007C7340" w:rsidRPr="00AB26AD" w:rsidRDefault="007C7340" w:rsidP="00EF1EE6">
      <w:pPr>
        <w:widowControl w:val="0"/>
        <w:ind w:left="-142" w:firstLine="851"/>
        <w:contextualSpacing/>
        <w:jc w:val="both"/>
      </w:pPr>
      <w:r w:rsidRPr="00AB26AD">
        <w:t>организуются переговорные площадки по взаимодействию местных производителей с торговыми сетями «День поставщика»;</w:t>
      </w:r>
    </w:p>
    <w:p w:rsidR="007C7340" w:rsidRPr="00AB26AD" w:rsidRDefault="007C7340" w:rsidP="00EF1EE6">
      <w:pPr>
        <w:widowControl w:val="0"/>
        <w:ind w:left="-142" w:firstLine="851"/>
        <w:contextualSpacing/>
        <w:jc w:val="both"/>
      </w:pPr>
      <w:r w:rsidRPr="00AB26AD">
        <w:t xml:space="preserve">реализовывались мероприятия «дорожной карты» по продвижению местных брендов, создана цифровая платформа «Чувашия </w:t>
      </w:r>
      <w:proofErr w:type="spellStart"/>
      <w:r w:rsidRPr="00AB26AD">
        <w:t>БлагоДарит</w:t>
      </w:r>
      <w:proofErr w:type="spellEnd"/>
      <w:r w:rsidRPr="00AB26AD">
        <w:t>» (виртуальная выставка местных брендов с возможностью перехода на информационный ресурс бренда).</w:t>
      </w:r>
    </w:p>
    <w:p w:rsidR="007C7340" w:rsidRPr="00AB26AD" w:rsidRDefault="007C7340" w:rsidP="00EF1EE6">
      <w:pPr>
        <w:widowControl w:val="0"/>
        <w:ind w:left="-142" w:firstLine="851"/>
        <w:contextualSpacing/>
        <w:jc w:val="both"/>
      </w:pPr>
      <w:proofErr w:type="gramStart"/>
      <w:r w:rsidRPr="00AB26AD">
        <w:t>Впервые в 2024 году присуждены гранты Главы Чувашской Республики муниципальным и городским округам за содействие в продвижении продукции АПК местных производителей, которые  направлены на решение вопросов местного значения: в 3 муниципальных и 1 городском округах будут установлены 8 новых нестационарных объектов, 14 торговых прилавков и 1 объект общественного питания, благоустроено прилегающее пространство.</w:t>
      </w:r>
      <w:proofErr w:type="gramEnd"/>
    </w:p>
    <w:p w:rsidR="007C7340" w:rsidRPr="00AB26AD" w:rsidRDefault="007C7340" w:rsidP="00EF1EE6">
      <w:pPr>
        <w:widowControl w:val="0"/>
        <w:ind w:left="-142" w:firstLine="851"/>
        <w:contextualSpacing/>
        <w:jc w:val="both"/>
      </w:pPr>
      <w:r w:rsidRPr="00AB26AD">
        <w:lastRenderedPageBreak/>
        <w:t>Большое внимание уделяется организации мероприятий, направленных на повышение квалификации и профессионализма руководителей и специалистов сферы потребительского рынка.</w:t>
      </w:r>
    </w:p>
    <w:p w:rsidR="007C7340" w:rsidRPr="00AB26AD" w:rsidRDefault="007C7340" w:rsidP="00EF1EE6">
      <w:pPr>
        <w:widowControl w:val="0"/>
        <w:ind w:left="-142" w:firstLine="851"/>
        <w:contextualSpacing/>
        <w:jc w:val="both"/>
      </w:pPr>
      <w:r w:rsidRPr="00AB26AD">
        <w:t>В 2024 году по вопросам развития торговли и взаимодействия производителей и организаций торговли  проведено 17 совещаний, «круглых столов», 2 заседания Координационного совета по защите прав потребителей при Главе Чувашской Республики.</w:t>
      </w:r>
    </w:p>
    <w:p w:rsidR="007C7340" w:rsidRPr="00AB26AD" w:rsidRDefault="007C7340" w:rsidP="00EF1EE6">
      <w:pPr>
        <w:widowControl w:val="0"/>
        <w:ind w:left="-142" w:firstLine="851"/>
        <w:contextualSpacing/>
        <w:jc w:val="both"/>
      </w:pPr>
      <w:r w:rsidRPr="00AB26AD">
        <w:t xml:space="preserve">В 2024 г. проведен республиканский конкурс лучших практик </w:t>
      </w:r>
      <w:proofErr w:type="spellStart"/>
      <w:r w:rsidRPr="00AB26AD">
        <w:t>разноформатной</w:t>
      </w:r>
      <w:proofErr w:type="spellEnd"/>
      <w:r w:rsidRPr="00AB26AD">
        <w:t xml:space="preserve"> торговли «Торговля Чувашии». В конкурсе приняли участие 45 организаций республики. </w:t>
      </w:r>
    </w:p>
    <w:p w:rsidR="007C7340" w:rsidRPr="00AB26AD" w:rsidRDefault="007C7340" w:rsidP="00EF1EE6">
      <w:pPr>
        <w:widowControl w:val="0"/>
        <w:ind w:left="-142" w:firstLine="851"/>
        <w:contextualSpacing/>
        <w:jc w:val="both"/>
      </w:pPr>
      <w:r w:rsidRPr="00AB26AD">
        <w:t>С 19 по 22 сентября на Красной площади г</w:t>
      </w:r>
      <w:proofErr w:type="gramStart"/>
      <w:r w:rsidRPr="00AB26AD">
        <w:t>.Ч</w:t>
      </w:r>
      <w:proofErr w:type="gramEnd"/>
      <w:r w:rsidRPr="00AB26AD">
        <w:t xml:space="preserve">ебоксары в рамках Международного Форума потребительской кооперации проведена универсальная ярмарка, в которой  приняли участие организации </w:t>
      </w:r>
      <w:proofErr w:type="spellStart"/>
      <w:r w:rsidRPr="00AB26AD">
        <w:t>Чувашпотребсоюза</w:t>
      </w:r>
      <w:proofErr w:type="spellEnd"/>
      <w:r w:rsidRPr="00AB26AD">
        <w:t xml:space="preserve"> с экспозицией «Покупай чувашское» (предприятия и НХП Чувашии в количестве 7 шатров).</w:t>
      </w:r>
    </w:p>
    <w:p w:rsidR="007C7340" w:rsidRPr="00AB26AD" w:rsidRDefault="007C7340" w:rsidP="00EF1EE6">
      <w:pPr>
        <w:widowControl w:val="0"/>
        <w:ind w:left="-142" w:firstLine="851"/>
        <w:contextualSpacing/>
        <w:jc w:val="both"/>
      </w:pPr>
      <w:r w:rsidRPr="00AB26AD">
        <w:t>В августе 2024 года 16 ресторанов и кафе г</w:t>
      </w:r>
      <w:proofErr w:type="gramStart"/>
      <w:r w:rsidRPr="00AB26AD">
        <w:t>.Ч</w:t>
      </w:r>
      <w:proofErr w:type="gramEnd"/>
      <w:r w:rsidRPr="00AB26AD">
        <w:t xml:space="preserve">ебоксары представили блюда чувашской национальной кухни в рамках Всероссийского фестиваля «Зеленое золото России-2024». </w:t>
      </w:r>
    </w:p>
    <w:p w:rsidR="007C7340" w:rsidRPr="00AB26AD" w:rsidRDefault="007C7340" w:rsidP="00EF1EE6">
      <w:pPr>
        <w:widowControl w:val="0"/>
        <w:ind w:left="-142" w:firstLine="851"/>
        <w:contextualSpacing/>
        <w:jc w:val="both"/>
      </w:pPr>
      <w:r w:rsidRPr="00AB26AD">
        <w:t>В августе 2024 г. был организован конкурс профессионального мастерства в рамках фестиваля моды и красоты «</w:t>
      </w:r>
      <w:proofErr w:type="spellStart"/>
      <w:r w:rsidRPr="00AB26AD">
        <w:t>Илемпи</w:t>
      </w:r>
      <w:proofErr w:type="spellEnd"/>
      <w:r w:rsidRPr="00AB26AD">
        <w:t xml:space="preserve">», на котором выбирали лучших среди дизайнеров, парикмахеров, визажистов, стилистов. </w:t>
      </w:r>
    </w:p>
    <w:p w:rsidR="007C7340" w:rsidRPr="00AB26AD" w:rsidRDefault="007C7340" w:rsidP="00EF1EE6">
      <w:pPr>
        <w:widowControl w:val="0"/>
        <w:ind w:left="-142" w:firstLine="851"/>
        <w:contextualSpacing/>
        <w:jc w:val="both"/>
      </w:pPr>
      <w:r w:rsidRPr="00AB26AD">
        <w:t>На базе образовательных организаций, реализующих программы среднего профессионального образования – НОУ СПО «Чебоксарский кооперативный техникум»  и  ГАПОУ Чувашской Республики «Чебоксарский экономико-технологический колледж» организованы курсы повышения квалификации официантов со сроком обучения  от 0,5 до 1 месяца. Ежегодно на базе Чебоксарского кооперативного техникума и института повышают квалификацию свыше 500 работников.</w:t>
      </w:r>
    </w:p>
    <w:p w:rsidR="007C7340" w:rsidRPr="00AB26AD" w:rsidRDefault="007C7340" w:rsidP="00EF1EE6">
      <w:pPr>
        <w:widowControl w:val="0"/>
        <w:ind w:left="-142" w:firstLine="851"/>
        <w:contextualSpacing/>
        <w:jc w:val="both"/>
      </w:pPr>
      <w:r w:rsidRPr="00AB26AD">
        <w:t xml:space="preserve">       Реализация государственной политики в Чувашской Республике в сфере защиты прав потребителей осуществлялась в рамках реализации Указа Главы Чувашской Республики от 07.02.2012 № 19 «О мерах по совершенствованию защиты прав потребителей в Чувашской Республике». </w:t>
      </w:r>
    </w:p>
    <w:p w:rsidR="007C7340" w:rsidRPr="00AB26AD" w:rsidRDefault="007C7340" w:rsidP="00EF1EE6">
      <w:pPr>
        <w:ind w:left="-142" w:firstLine="851"/>
        <w:contextualSpacing/>
        <w:jc w:val="both"/>
      </w:pPr>
      <w:r w:rsidRPr="00AB26AD">
        <w:t xml:space="preserve">На официальном сайте Минэкономразвития Чувашии функционирует портал «Защита прав потребителей» http://minec.cap.ru/action/activity/zaschita-prav-potrebitelej. </w:t>
      </w:r>
    </w:p>
    <w:p w:rsidR="007C7340" w:rsidRPr="00AB26AD" w:rsidRDefault="007C7340" w:rsidP="00EF1EE6">
      <w:pPr>
        <w:ind w:left="-142" w:firstLine="851"/>
        <w:contextualSpacing/>
        <w:jc w:val="both"/>
        <w:rPr>
          <w:bCs/>
        </w:rPr>
      </w:pPr>
      <w:r w:rsidRPr="00AB26AD">
        <w:t>В рамках проведения Всемирного дня защиты прав потребителей представители Минэкономразвития Чувашии в марте 2024 г. приняли участие в «круглом столе» администрации г</w:t>
      </w:r>
      <w:proofErr w:type="gramStart"/>
      <w:r w:rsidRPr="00AB26AD">
        <w:t>.Ч</w:t>
      </w:r>
      <w:proofErr w:type="gramEnd"/>
      <w:r w:rsidRPr="00AB26AD">
        <w:t xml:space="preserve">ебоксары и в «круглом столе» по вопросам обязательной маркировки товаров средствами идентификации, организованном ТПП Чувашской Республики. </w:t>
      </w:r>
    </w:p>
    <w:p w:rsidR="007C7340" w:rsidRPr="00AB26AD" w:rsidRDefault="007C7340" w:rsidP="00EF1EE6">
      <w:pPr>
        <w:ind w:left="-142" w:firstLine="851"/>
        <w:contextualSpacing/>
        <w:jc w:val="both"/>
      </w:pPr>
      <w:r w:rsidRPr="00AB26AD">
        <w:t xml:space="preserve">В библиотеках республики прошли круглые столы на тему: «Потребитель и производитель», часы правовых знаний «Грамотный потребитель», виртуальные выставки </w:t>
      </w:r>
      <w:proofErr w:type="gramStart"/>
      <w:r w:rsidRPr="00AB26AD">
        <w:t>ко</w:t>
      </w:r>
      <w:proofErr w:type="gramEnd"/>
      <w:r w:rsidRPr="00AB26AD">
        <w:t xml:space="preserve"> Всемирному дню защиты прав потребителей, оформлены книжные выставки и информационные стенды «Всемирный день защиты прав потребителя». </w:t>
      </w:r>
    </w:p>
    <w:p w:rsidR="007C7340" w:rsidRPr="00AB26AD" w:rsidRDefault="007C7340" w:rsidP="00EF1EE6">
      <w:pPr>
        <w:ind w:left="-142" w:firstLine="851"/>
        <w:contextualSpacing/>
        <w:jc w:val="both"/>
        <w:rPr>
          <w:bCs/>
        </w:rPr>
      </w:pPr>
      <w:r w:rsidRPr="00AB26AD">
        <w:t xml:space="preserve">Во всех учреждениях высшего и среднего образования прошли мероприятия посвященные тематике Всемирного дня защиты прав потребителей «Справедливый и ответственный искусственный интеллект»: информационные дни, круглые столы, лекции, онлайн-уроки, </w:t>
      </w:r>
      <w:proofErr w:type="spellStart"/>
      <w:r w:rsidRPr="00AB26AD">
        <w:t>квест</w:t>
      </w:r>
      <w:proofErr w:type="spellEnd"/>
      <w:r w:rsidRPr="00AB26AD">
        <w:t xml:space="preserve">-игры и др. </w:t>
      </w:r>
    </w:p>
    <w:p w:rsidR="007C7340" w:rsidRPr="00AB26AD" w:rsidRDefault="007C7340" w:rsidP="00EF1EE6">
      <w:pPr>
        <w:ind w:left="-142" w:firstLine="851"/>
        <w:contextualSpacing/>
        <w:jc w:val="both"/>
        <w:rPr>
          <w:bCs/>
        </w:rPr>
      </w:pPr>
      <w:r w:rsidRPr="00AB26AD">
        <w:t xml:space="preserve">Во всех муниципальных и городских округах Чувашской Республики были утверждены планы мероприятий по проведению Всемирного дня защиты прав потребителей. </w:t>
      </w:r>
      <w:proofErr w:type="gramStart"/>
      <w:r w:rsidRPr="00AB26AD">
        <w:t xml:space="preserve">На официальных сайтах муниципальных и городских округов республики в сети «Интернет» размещены объявления о проведении Всемирного дня защиты прав потребителей, информационные статьи по защите прав потребителей, проведены тематические консультации, телефонные «горячие линии» по вопросам защиты прав потребителей и «круглые столы» с участием представителей территориальных отделов Управления </w:t>
      </w:r>
      <w:proofErr w:type="spellStart"/>
      <w:r w:rsidRPr="00AB26AD">
        <w:t>Роспотребнадзора</w:t>
      </w:r>
      <w:proofErr w:type="spellEnd"/>
      <w:r w:rsidRPr="00AB26AD">
        <w:t xml:space="preserve"> по Чувашской Республики – Чувашии  и ФБУЗ «Центр гигиены и эпидемиологии в Чувашской Республике</w:t>
      </w:r>
      <w:proofErr w:type="gramEnd"/>
      <w:r w:rsidRPr="00AB26AD">
        <w:t xml:space="preserve"> – </w:t>
      </w:r>
      <w:proofErr w:type="gramStart"/>
      <w:r w:rsidRPr="00AB26AD">
        <w:t xml:space="preserve">Чувашии», в которых также приняли участие граждане, индивидуальные предприниматели и руководители предприятий </w:t>
      </w:r>
      <w:r w:rsidRPr="00AB26AD">
        <w:lastRenderedPageBreak/>
        <w:t>потребительского рынка.</w:t>
      </w:r>
      <w:proofErr w:type="gramEnd"/>
      <w:r w:rsidRPr="00AB26AD">
        <w:t xml:space="preserve"> Осуществлялось распространение буклетов и памяток на актуальные темы по защите прав потребителей.</w:t>
      </w:r>
    </w:p>
    <w:p w:rsidR="007C7340" w:rsidRPr="00AB26AD" w:rsidRDefault="007C7340" w:rsidP="00EF1EE6">
      <w:pPr>
        <w:pStyle w:val="16"/>
        <w:ind w:left="-142" w:firstLine="851"/>
        <w:jc w:val="both"/>
        <w:rPr>
          <w:rFonts w:ascii="Times New Roman" w:hAnsi="Times New Roman"/>
          <w:color w:val="000000" w:themeColor="text1"/>
          <w:sz w:val="24"/>
          <w:szCs w:val="24"/>
          <w:lang w:eastAsia="ru-RU"/>
        </w:rPr>
      </w:pPr>
      <w:r w:rsidRPr="00AB26AD">
        <w:rPr>
          <w:rFonts w:ascii="Times New Roman" w:hAnsi="Times New Roman"/>
          <w:color w:val="000000" w:themeColor="text1"/>
          <w:sz w:val="24"/>
          <w:szCs w:val="24"/>
          <w:lang w:eastAsia="ru-RU"/>
        </w:rPr>
        <w:t>Активно функционирует Координационный совет по защите прав потребителей при Главе Чувашской Республики, созданный в целях обеспечения соблюдения прав потребителей в сфере потребительского рынка. В 2024 году проведено два заседания Координационного совета, на которых приняты решения, направленные на совершенствование отдельных направлений сферы потребительского рынка, а также рассмотрены вопросы защиты прав потребителей в сфере электронной торговли и  при оказании финансовых услуг.</w:t>
      </w:r>
      <w:r w:rsidRPr="00AB26AD">
        <w:rPr>
          <w:rFonts w:ascii="Times New Roman" w:hAnsi="Times New Roman"/>
          <w:color w:val="000000" w:themeColor="text1"/>
          <w:sz w:val="24"/>
          <w:szCs w:val="24"/>
        </w:rPr>
        <w:t xml:space="preserve"> </w:t>
      </w:r>
    </w:p>
    <w:p w:rsidR="007C7340" w:rsidRPr="00AB26AD" w:rsidRDefault="007C7340" w:rsidP="00EF1EE6">
      <w:pPr>
        <w:widowControl w:val="0"/>
        <w:ind w:left="-142" w:firstLine="851"/>
        <w:contextualSpacing/>
        <w:jc w:val="both"/>
      </w:pPr>
      <w:r w:rsidRPr="00AB26AD">
        <w:t>По результатам проводимой работы исполнительными органами и органами местного самоуправления в рейтинге субъектов Российской Федерации по уровню защищенности потребителей Чувашия заняла 7 место в группе из 19 субъектов Российской Федерации с высоким уровнем защищенности (в 2021 году – 10 место).</w:t>
      </w:r>
    </w:p>
    <w:p w:rsidR="00A63E76" w:rsidRPr="00AB26AD" w:rsidRDefault="00A63E76" w:rsidP="00EF1EE6">
      <w:pPr>
        <w:ind w:left="-142" w:firstLine="851"/>
        <w:jc w:val="both"/>
      </w:pPr>
      <w:r w:rsidRPr="00AB26AD">
        <w:t xml:space="preserve">Показатель «Расширение географии экспорта, % к предыдущему году» за 2024 год достигнут. </w:t>
      </w:r>
    </w:p>
    <w:p w:rsidR="00A63E76" w:rsidRPr="00AB26AD" w:rsidRDefault="00A63E76" w:rsidP="00EF1EE6">
      <w:pPr>
        <w:ind w:left="-142" w:firstLine="851"/>
        <w:jc w:val="both"/>
      </w:pPr>
      <w:r w:rsidRPr="00AB26AD">
        <w:t>Плановое значение – 101,0%.</w:t>
      </w:r>
    </w:p>
    <w:p w:rsidR="00A63E76" w:rsidRPr="00AB26AD" w:rsidRDefault="00A63E76" w:rsidP="00EF1EE6">
      <w:pPr>
        <w:ind w:left="-142" w:firstLine="851"/>
        <w:jc w:val="both"/>
      </w:pPr>
      <w:r w:rsidRPr="00AB26AD">
        <w:t>Фактическое значение – 101,0%.</w:t>
      </w:r>
    </w:p>
    <w:p w:rsidR="00A63E76" w:rsidRPr="00AB26AD" w:rsidRDefault="00A63E76" w:rsidP="00EF1EE6">
      <w:pPr>
        <w:ind w:left="-142" w:firstLine="851"/>
        <w:jc w:val="both"/>
      </w:pPr>
      <w:r w:rsidRPr="00AB26AD">
        <w:t xml:space="preserve">Чувашия в 2024 году по оценке экспортировала свою продукцию в 54 страны (в 2023 г. – 54 страны). Количество стран экспорта Чувашской Республики сократилось вдвое с 2021 года в связи с </w:t>
      </w:r>
      <w:proofErr w:type="spellStart"/>
      <w:r w:rsidRPr="00AB26AD">
        <w:t>санкционным</w:t>
      </w:r>
      <w:proofErr w:type="spellEnd"/>
      <w:r w:rsidRPr="00AB26AD">
        <w:t xml:space="preserve"> давлением недружественных стран (в 2021 г. – 101 страна).</w:t>
      </w:r>
    </w:p>
    <w:p w:rsidR="00A63E76" w:rsidRPr="00AB26AD" w:rsidRDefault="00A63E76" w:rsidP="00EF1EE6">
      <w:pPr>
        <w:ind w:left="-142" w:firstLine="851"/>
        <w:jc w:val="both"/>
      </w:pPr>
      <w:r w:rsidRPr="00AB26AD">
        <w:t>Несмотря на это благодаря организации комплекса мер государственной поддержки экспортерам, перестройки логистических маршрутов, переориентации рынков сбыта внешняя торговля республики восстановилась. Наблюдается усиление внешнеэкономических связей со странами СНГ. Основной объем экспорта Чувашской Республики в страны СНГ составляет 73,9%.</w:t>
      </w:r>
    </w:p>
    <w:p w:rsidR="00A63E76" w:rsidRPr="00AB26AD" w:rsidRDefault="00A63E76" w:rsidP="00EF1EE6">
      <w:pPr>
        <w:ind w:left="-142" w:firstLine="851"/>
        <w:jc w:val="both"/>
      </w:pPr>
      <w:proofErr w:type="gramStart"/>
      <w:r w:rsidRPr="00AB26AD">
        <w:t>В течение года республику посетило 24 официальных международных де-легаций из Шри-Ланки, Белоруссии, Китая, Узбекистана, Турции, Ирана, Индии, Азербайджана, в том числе 14 делегаций с участием дипломатов из различных стран (Шри-Ланка, Белоруссия, Узбекистан, Турция, Иран).</w:t>
      </w:r>
      <w:proofErr w:type="gramEnd"/>
    </w:p>
    <w:p w:rsidR="00A63E76" w:rsidRPr="00AB26AD" w:rsidRDefault="00A63E76" w:rsidP="00EF1EE6">
      <w:pPr>
        <w:ind w:left="-142" w:firstLine="851"/>
        <w:jc w:val="both"/>
      </w:pPr>
      <w:proofErr w:type="gramStart"/>
      <w:r w:rsidRPr="00AB26AD">
        <w:t>Кроме того, в сентябре 2024 года Чувашскую Республику с целью участия в Международном форуме потребительской кооперации «Кооперация: ценим прошлое, созидая будущее» посетили представители кооперативных организаций Иордании, Камеруна, Марокко, Египта, Танзании, Бразилии, Нигерии и Филиппин, Китая, ЮАР, Белоруссии, Ирана.</w:t>
      </w:r>
      <w:proofErr w:type="gramEnd"/>
    </w:p>
    <w:p w:rsidR="00A63E76" w:rsidRPr="00AB26AD" w:rsidRDefault="00A63E76" w:rsidP="00EF1EE6">
      <w:pPr>
        <w:ind w:left="-142" w:firstLine="851"/>
        <w:jc w:val="both"/>
      </w:pPr>
      <w:r w:rsidRPr="00AB26AD">
        <w:t xml:space="preserve">Состоялись официальные визиты делегации Чувашской Республики в </w:t>
      </w:r>
      <w:proofErr w:type="gramStart"/>
      <w:r w:rsidRPr="00AB26AD">
        <w:t>Кир-</w:t>
      </w:r>
      <w:proofErr w:type="spellStart"/>
      <w:r w:rsidRPr="00AB26AD">
        <w:t>гизию</w:t>
      </w:r>
      <w:proofErr w:type="spellEnd"/>
      <w:proofErr w:type="gramEnd"/>
      <w:r w:rsidRPr="00AB26AD">
        <w:t>, Узбекистан, Белоруссию, Индию и Китай.</w:t>
      </w:r>
    </w:p>
    <w:p w:rsidR="00A63E76" w:rsidRPr="00AB26AD" w:rsidRDefault="00A63E76" w:rsidP="00EF1EE6">
      <w:pPr>
        <w:ind w:left="-142" w:firstLine="851"/>
        <w:jc w:val="both"/>
      </w:pPr>
      <w:r w:rsidRPr="00AB26AD">
        <w:t xml:space="preserve">Показатель «Рост </w:t>
      </w:r>
      <w:proofErr w:type="spellStart"/>
      <w:r w:rsidRPr="00AB26AD">
        <w:t>несырьевого</w:t>
      </w:r>
      <w:proofErr w:type="spellEnd"/>
      <w:r w:rsidRPr="00AB26AD">
        <w:t xml:space="preserve"> неэнергетического экспорта, % к предыдущему году» за 2024 год достигнут.</w:t>
      </w:r>
    </w:p>
    <w:p w:rsidR="00A63E76" w:rsidRPr="00AB26AD" w:rsidRDefault="00A63E76" w:rsidP="00EF1EE6">
      <w:pPr>
        <w:ind w:left="-142" w:firstLine="851"/>
        <w:jc w:val="both"/>
      </w:pPr>
      <w:r w:rsidRPr="00AB26AD">
        <w:t>Плановое значение – 106,1%.</w:t>
      </w:r>
    </w:p>
    <w:p w:rsidR="00A63E76" w:rsidRPr="00AB26AD" w:rsidRDefault="00A63E76" w:rsidP="00EF1EE6">
      <w:pPr>
        <w:ind w:left="-142" w:firstLine="851"/>
        <w:jc w:val="both"/>
      </w:pPr>
      <w:r w:rsidRPr="00AB26AD">
        <w:t>Фактическое значение – 132,6% (по оценке).</w:t>
      </w:r>
    </w:p>
    <w:p w:rsidR="00A63E76" w:rsidRPr="00AB26AD" w:rsidRDefault="00A63E76" w:rsidP="00EF1EE6">
      <w:pPr>
        <w:ind w:left="-142" w:firstLine="851"/>
        <w:jc w:val="both"/>
      </w:pPr>
      <w:r w:rsidRPr="00AB26AD">
        <w:t xml:space="preserve">Благодаря организации комплекса мер государственной поддержки экспорта внешнеторговый оборот Чувашской Республики показывает стабильный рост после спада 2022 года. </w:t>
      </w:r>
    </w:p>
    <w:p w:rsidR="00A63E76" w:rsidRPr="00AB26AD" w:rsidRDefault="00A63E76" w:rsidP="00EF1EE6">
      <w:pPr>
        <w:ind w:left="-142" w:firstLine="851"/>
        <w:jc w:val="both"/>
      </w:pPr>
      <w:proofErr w:type="gramStart"/>
      <w:r w:rsidRPr="00AB26AD">
        <w:t>По данным Приволжского таможенного управления внешнеторговый оборот Чувашской Республики за январь-ноябрь 2024 г. составил 713,7 млн. долл. США и увеличился на 6,3% по сравнению с аналогичным периодом прошлого года (+42,4 млн. долл. США), в том числе экспорт составил 339,9 млн. долл. США и увеличился на 40,8% (+98,6 млн. долл. США), импорт – 373,8 млн. долл. США и сократился на 13,1% (-56,2</w:t>
      </w:r>
      <w:proofErr w:type="gramEnd"/>
      <w:r w:rsidRPr="00AB26AD">
        <w:t xml:space="preserve"> млн. долл. США).</w:t>
      </w:r>
    </w:p>
    <w:p w:rsidR="00A63E76" w:rsidRPr="00AB26AD" w:rsidRDefault="00A63E76" w:rsidP="00EF1EE6">
      <w:pPr>
        <w:ind w:left="-142" w:firstLine="851"/>
        <w:jc w:val="both"/>
      </w:pPr>
      <w:r w:rsidRPr="00AB26AD">
        <w:t>Показатель «Экспорт товаров, млн. долларов США» за 2024 год достигнут.</w:t>
      </w:r>
    </w:p>
    <w:p w:rsidR="00A63E76" w:rsidRPr="00AB26AD" w:rsidRDefault="00A63E76" w:rsidP="00EF1EE6">
      <w:pPr>
        <w:ind w:left="-142" w:firstLine="851"/>
        <w:jc w:val="both"/>
      </w:pPr>
      <w:r w:rsidRPr="00AB26AD">
        <w:t>Плановое значение – 260,0 млн. долларов США.</w:t>
      </w:r>
    </w:p>
    <w:p w:rsidR="00A63E76" w:rsidRPr="00AB26AD" w:rsidRDefault="00A63E76" w:rsidP="00EF1EE6">
      <w:pPr>
        <w:ind w:left="-142" w:firstLine="851"/>
        <w:jc w:val="both"/>
      </w:pPr>
      <w:r w:rsidRPr="00AB26AD">
        <w:lastRenderedPageBreak/>
        <w:t>Фактическое значение – 350,0 млн. долларов США (по оценке).</w:t>
      </w:r>
    </w:p>
    <w:p w:rsidR="00A63E76" w:rsidRPr="00AB26AD" w:rsidRDefault="00A63E76" w:rsidP="00EF1EE6">
      <w:pPr>
        <w:ind w:left="-142" w:firstLine="851"/>
        <w:jc w:val="both"/>
      </w:pPr>
      <w:r w:rsidRPr="00AB26AD">
        <w:t xml:space="preserve">В товарной структуре экспорта Чувашской Республики преобладают машины, оборудование и транспортные средства – 62,1%, продовольственные товары и сельскохозяйственное сырье – 15,3%, продукция химической промышленности, каучук – 14,2%. </w:t>
      </w:r>
    </w:p>
    <w:p w:rsidR="00A63E76" w:rsidRPr="00AB26AD" w:rsidRDefault="00A63E76" w:rsidP="00EF1EE6">
      <w:pPr>
        <w:ind w:left="-142" w:firstLine="851"/>
        <w:jc w:val="both"/>
      </w:pPr>
      <w:r w:rsidRPr="00AB26AD">
        <w:t xml:space="preserve">Показатель «Рост числа экспортеров, % к предыдущему году» за 2024 год </w:t>
      </w:r>
      <w:r w:rsidRPr="00AB26AD">
        <w:br/>
        <w:t>достигнут.</w:t>
      </w:r>
    </w:p>
    <w:p w:rsidR="00A63E76" w:rsidRPr="00AB26AD" w:rsidRDefault="00A63E76" w:rsidP="00EF1EE6">
      <w:pPr>
        <w:ind w:left="-142" w:firstLine="851"/>
        <w:jc w:val="both"/>
      </w:pPr>
      <w:r w:rsidRPr="00AB26AD">
        <w:t>Плановое значение – 103,0%.</w:t>
      </w:r>
    </w:p>
    <w:p w:rsidR="00A63E76" w:rsidRPr="00AB26AD" w:rsidRDefault="00A63E76" w:rsidP="00EF1EE6">
      <w:pPr>
        <w:ind w:left="-142" w:firstLine="851"/>
        <w:jc w:val="both"/>
      </w:pPr>
      <w:r w:rsidRPr="00AB26AD">
        <w:t>Фактическое значение – 103,0% .</w:t>
      </w:r>
    </w:p>
    <w:p w:rsidR="00A63E76" w:rsidRPr="00AB26AD" w:rsidRDefault="00A63E76" w:rsidP="00EF1EE6">
      <w:pPr>
        <w:ind w:left="-142" w:firstLine="851"/>
        <w:jc w:val="both"/>
      </w:pPr>
      <w:r w:rsidRPr="00AB26AD">
        <w:t>По оценке количество экспортеров Чувашской Республики за 2024 год составило 615 ед. (за 2023 г. – 616 ед.).</w:t>
      </w:r>
    </w:p>
    <w:p w:rsidR="00A63E76" w:rsidRPr="00AB26AD" w:rsidRDefault="00A63E76" w:rsidP="00EF1EE6">
      <w:pPr>
        <w:ind w:left="-142" w:firstLine="851"/>
        <w:jc w:val="both"/>
      </w:pPr>
      <w:r w:rsidRPr="00AB26AD">
        <w:t>По результатам экспортного аудита организаций и предприятий Чувашской Республики выявлены потребность экспортеров в мерах поддержки, а также барьеры, препятствующих выходу на внешние рынки. На основан</w:t>
      </w:r>
      <w:proofErr w:type="gramStart"/>
      <w:r w:rsidRPr="00AB26AD">
        <w:t>ии ау</w:t>
      </w:r>
      <w:proofErr w:type="gramEnd"/>
      <w:r w:rsidRPr="00AB26AD">
        <w:t>дита сформировано «Экспортное меню» для действующих и потенциальных экспортеров Чувашской Республики, содержащее полный комплекс мер поддержки.</w:t>
      </w:r>
    </w:p>
    <w:p w:rsidR="00A63E76" w:rsidRPr="00AB26AD" w:rsidRDefault="00A63E76" w:rsidP="00EF1EE6">
      <w:pPr>
        <w:ind w:left="-142" w:firstLine="851"/>
        <w:jc w:val="both"/>
      </w:pPr>
      <w:r w:rsidRPr="00AB26AD">
        <w:t>В целях формирования комплексной и эффективной системы поддержки экспорта в Чувашской Республике в рамках национального проекта «Международная кооперация и экспорт» реализуются региональные проекты «Системные меры развития международной кооперации и экспорта», «Промышленный экспорт» и «Экспорт продукции АПК».</w:t>
      </w:r>
    </w:p>
    <w:p w:rsidR="00A63E76" w:rsidRPr="00AB26AD" w:rsidRDefault="00A63E76" w:rsidP="00EF1EE6">
      <w:pPr>
        <w:ind w:left="-142" w:firstLine="851"/>
        <w:jc w:val="both"/>
      </w:pPr>
      <w:r w:rsidRPr="00AB26AD">
        <w:t xml:space="preserve">Для поддержки экспортеров в Чувашской Республике в 2024 году проводилась системная работа по внедрению Стандарта по обеспечению благоприятных условий для развития экспортной деятельности в субъектах Российской Федерации (Регионального экспортного стандарта 2.0), утвержденного протоколом заседания проектного комитета по национальному проекту «Международная кооперация и экспорт» от 22.12.2021 № 15. Экспортный стандарт – это 15 инструментов по формированию эффективной и гибкой инфраструктуры поддержки экспорта, учитывающей специфику региона, в том числе за счет вовлечения органов власти и представителей </w:t>
      </w:r>
      <w:proofErr w:type="gramStart"/>
      <w:r w:rsidRPr="00AB26AD">
        <w:t>бизнес-сообщества</w:t>
      </w:r>
      <w:proofErr w:type="gramEnd"/>
      <w:r w:rsidRPr="00AB26AD">
        <w:t xml:space="preserve"> в процесс развития экспортной деятельности.</w:t>
      </w:r>
    </w:p>
    <w:p w:rsidR="00A63E76" w:rsidRPr="00AB26AD" w:rsidRDefault="00A63E76" w:rsidP="00EF1EE6">
      <w:pPr>
        <w:ind w:left="-142" w:firstLine="851"/>
        <w:jc w:val="both"/>
      </w:pPr>
      <w:r w:rsidRPr="00AB26AD">
        <w:t>В республике функционирует инфраструктура поддержки экспорта – Центр экспортной поддержки субъектов МСП, которым обеспечен равный доступ субъектов МСП к государственным мерам поддержки экспорта. ЦЭП Чувашии в 2024 году оказана поддержка 512 экспортно-ориентированным субъектам МСП. Подтвержден вывод на экспорт благодаря услугам ЦЭП 35 субъектов МСП. Подтвержденный объем поддержанного экспорта субъектов МСП составил 12,8 млн. долл. США.</w:t>
      </w:r>
    </w:p>
    <w:p w:rsidR="007C7340" w:rsidRPr="00AB26AD" w:rsidRDefault="00A63E76" w:rsidP="00EF1EE6">
      <w:pPr>
        <w:ind w:left="-142" w:firstLine="851"/>
        <w:jc w:val="both"/>
      </w:pPr>
      <w:proofErr w:type="gramStart"/>
      <w:r w:rsidRPr="00AB26AD">
        <w:t xml:space="preserve">Также в целях обеспечения благоприятных условий для развития экспортной деятельности в Чувашской Республике, продвижения товаров и услуг региональных предприятий на зарубежных рынках, увеличения объема экспорта </w:t>
      </w:r>
      <w:proofErr w:type="spellStart"/>
      <w:r w:rsidRPr="00AB26AD">
        <w:t>несырьевых</w:t>
      </w:r>
      <w:proofErr w:type="spellEnd"/>
      <w:r w:rsidRPr="00AB26AD">
        <w:t xml:space="preserve"> неэнергетических товаров в 2024 году разработана и утверждена распоряжением Кабинета Министров Чувашской Республики от 02.07.2024 № 652-р Стратегия обеспечения благоприятных условий для развития экспортной деятельности в Чувашской Республике до 2030 года.</w:t>
      </w:r>
      <w:proofErr w:type="gramEnd"/>
    </w:p>
    <w:p w:rsidR="00A63E76" w:rsidRPr="00AB26AD" w:rsidRDefault="00A63E76" w:rsidP="00EF1EE6">
      <w:pPr>
        <w:ind w:left="-142" w:firstLine="851"/>
        <w:jc w:val="both"/>
      </w:pPr>
      <w:r w:rsidRPr="00AB26AD">
        <w:t xml:space="preserve">В рамках внедрения Регионального экспортного стандарта 2.0 в Чувашской Республике реализованы 15 инструментов: </w:t>
      </w:r>
    </w:p>
    <w:p w:rsidR="00A63E76" w:rsidRPr="00AB26AD" w:rsidRDefault="00A63E76" w:rsidP="00EF1EE6">
      <w:pPr>
        <w:ind w:left="-142" w:firstLine="851"/>
        <w:jc w:val="both"/>
      </w:pPr>
      <w:r w:rsidRPr="00AB26AD">
        <w:t>инструмент № 1. Закрепление развития экспорта, в том числе экспорта услуг, в документах стратегического планирования субъекта РФ. В 2024 году разработана и утверждена распоряжением Кабинета Министров Чувашской Республики от 02.07.2024 № 652-р Стратегия обеспечения благоприятных условий для развития экспортной деятельности в Чувашской Республике до 2030 года;</w:t>
      </w:r>
    </w:p>
    <w:p w:rsidR="00A63E76" w:rsidRPr="00AB26AD" w:rsidRDefault="00A63E76" w:rsidP="00EF1EE6">
      <w:pPr>
        <w:ind w:left="-142" w:firstLine="851"/>
        <w:jc w:val="both"/>
      </w:pPr>
      <w:r w:rsidRPr="00AB26AD">
        <w:t xml:space="preserve">инструмент № 2. Определение органа исполнительной власти субъекта РФ, ответственного за развитие </w:t>
      </w:r>
      <w:proofErr w:type="spellStart"/>
      <w:r w:rsidRPr="00AB26AD">
        <w:t>несырьевого</w:t>
      </w:r>
      <w:proofErr w:type="spellEnd"/>
      <w:r w:rsidRPr="00AB26AD">
        <w:t xml:space="preserve"> экспорта и экспорта услуг. Органом </w:t>
      </w:r>
      <w:r w:rsidRPr="00AB26AD">
        <w:lastRenderedPageBreak/>
        <w:t xml:space="preserve">исполнительной власти Чувашской Республики, ответственным за развитие </w:t>
      </w:r>
      <w:proofErr w:type="spellStart"/>
      <w:r w:rsidRPr="00AB26AD">
        <w:t>несырьевого</w:t>
      </w:r>
      <w:proofErr w:type="spellEnd"/>
      <w:r w:rsidRPr="00AB26AD">
        <w:t xml:space="preserve"> экспорта, определен Минэкономразвития Чувашии;</w:t>
      </w:r>
    </w:p>
    <w:p w:rsidR="00A63E76" w:rsidRPr="00AB26AD" w:rsidRDefault="00A63E76" w:rsidP="00EF1EE6">
      <w:pPr>
        <w:ind w:left="-142" w:firstLine="851"/>
        <w:jc w:val="both"/>
      </w:pPr>
      <w:r w:rsidRPr="00AB26AD">
        <w:t>инструмент № 3. Формирование и обучение управленческой команды субъекта РФ. Состав управленческой команды по развитию экспорта в Чувашской Республике утвержден распоряжением Кабинета Министров Чувашской Республики от 17.03.2022 № 231-р. В 2024 году управленческая команда прошла обучение в дистанционном формате по онлайн-программе Школы экспорта РЭЦ;</w:t>
      </w:r>
    </w:p>
    <w:p w:rsidR="00A63E76" w:rsidRPr="00AB26AD" w:rsidRDefault="00A63E76" w:rsidP="00EF1EE6">
      <w:pPr>
        <w:ind w:left="-142" w:firstLine="851"/>
        <w:jc w:val="both"/>
      </w:pPr>
      <w:r w:rsidRPr="00AB26AD">
        <w:t xml:space="preserve">инструмент № 4. Разработка и реализация Региональной программы развития экспорта субъекта РФ. В 2023 году Чувашская Республика в числе 15 регионов Российской Федерации прошла </w:t>
      </w:r>
      <w:proofErr w:type="gramStart"/>
      <w:r w:rsidRPr="00AB26AD">
        <w:t>обучение по</w:t>
      </w:r>
      <w:proofErr w:type="gramEnd"/>
      <w:r w:rsidRPr="00AB26AD">
        <w:t xml:space="preserve"> образовательной программе АНО ДПО «Школа экспорта АО «Российский экспортный центр» на тему «Экспорт регионов 2.0». По итогам обучения состоялась защита </w:t>
      </w:r>
      <w:proofErr w:type="gramStart"/>
      <w:r w:rsidRPr="00AB26AD">
        <w:t>проекта Региональной программы развития экспорта Чувашской Республики</w:t>
      </w:r>
      <w:proofErr w:type="gramEnd"/>
      <w:r w:rsidRPr="00AB26AD">
        <w:t xml:space="preserve"> до 2030 года. Программа утверждена протоколом заседания Экспортного совета при Главе Чувашской Республики от 15.12.2024 № 4;</w:t>
      </w:r>
    </w:p>
    <w:p w:rsidR="00A63E76" w:rsidRPr="00AB26AD" w:rsidRDefault="00A63E76" w:rsidP="00EF1EE6">
      <w:pPr>
        <w:ind w:left="-142" w:firstLine="851"/>
        <w:jc w:val="both"/>
      </w:pPr>
      <w:r w:rsidRPr="00AB26AD">
        <w:t>инструмент № 5. Создание Экспортного совета при высшем должностном лице субъекта РФ. Экспортный совет при Главе Чувашской Республике утвержден Указом Главы Чувашской Республики от 21.11.2022 № 144. Состав Экспортного совета утвержден распоряжением Главы Чувашской Республики от 22.11.2022 № 771-рг;</w:t>
      </w:r>
    </w:p>
    <w:p w:rsidR="00A63E76" w:rsidRPr="00AB26AD" w:rsidRDefault="00A63E76" w:rsidP="00EF1EE6">
      <w:pPr>
        <w:ind w:left="-142" w:firstLine="851"/>
        <w:jc w:val="both"/>
      </w:pPr>
      <w:r w:rsidRPr="00AB26AD">
        <w:t xml:space="preserve">инструмент № 6. Создание и развитие Центра поддержки экспорта. </w:t>
      </w:r>
      <w:proofErr w:type="gramStart"/>
      <w:r w:rsidRPr="00AB26AD">
        <w:t>В Чувашской Республике в целях увеличения объемов экспорта продукции предприятиями Чувашской Республики, оказания услуг по поддержке экспортной деятельности субъектам МСП с 2012 г. функционирует АНО «Центр координации поддержки экспортно-ориентированных субъектов малого и среднего предпринимательства в Чувашской Республики».</w:t>
      </w:r>
      <w:proofErr w:type="gramEnd"/>
      <w:r w:rsidRPr="00AB26AD">
        <w:t xml:space="preserve"> ЦЭП Чувашии ежегодно подтверждает ключевые показатели эффективности деятельности в соответствии с требованиями к центрам поддержки экспорта, утвержденными приказом Минэкономразвития России от 18.02.2021 № 77;</w:t>
      </w:r>
    </w:p>
    <w:p w:rsidR="00A63E76" w:rsidRPr="00AB26AD" w:rsidRDefault="00A63E76" w:rsidP="00EF1EE6">
      <w:pPr>
        <w:ind w:left="-142" w:firstLine="851"/>
        <w:jc w:val="both"/>
      </w:pPr>
      <w:r w:rsidRPr="00AB26AD">
        <w:t>инструмент № 7. Обеспечение присутствия субъекта РФ на зарубежных рынках. Протокольным решением Экспортного совета при Главе Чувашской Республики  от 19.12.2022 № 1 утвержден план мероприятий по обеспечению международного присутствия Чувашской Республики на зарубежных рынках до 2025 года. В 2024 году ЦЭП Чувашии подписаны соглашения об осуществлении международных и внешнеэкономических связей с Белоруссией, Узбекистаном, Китаем, Азербайджаном;</w:t>
      </w:r>
    </w:p>
    <w:p w:rsidR="00A63E76" w:rsidRPr="00AB26AD" w:rsidRDefault="00A63E76" w:rsidP="00EF1EE6">
      <w:pPr>
        <w:ind w:left="-142" w:firstLine="851"/>
        <w:jc w:val="both"/>
      </w:pPr>
      <w:r w:rsidRPr="00AB26AD">
        <w:t xml:space="preserve">инструмент № 8. Создание и развитие системы подготовки кадров в сфере внешнеэкономической деятельности на базе Высших учебных заведений субъекта РФ. План мероприятий по развитию системы подготовки кадров в сфере внешнеэкономической деятельности в Чувашской Республике на период до 2024 года утвержден проректором по учебной работе ФГБОУ ВО «ЧГУ им. И.Н. Ульянова» и согласован с Минэкономразвития Чувашии. По итогам 2024 года 25 выпускников прошли обучение по программам подготовки и переподготовки кадров в сфере ВЭД, 23 выпускника прошли практику/стажировку в </w:t>
      </w:r>
      <w:proofErr w:type="gramStart"/>
      <w:r w:rsidRPr="00AB26AD">
        <w:t>РОИВ-координаторе</w:t>
      </w:r>
      <w:proofErr w:type="gramEnd"/>
      <w:r w:rsidRPr="00AB26AD">
        <w:t xml:space="preserve"> и инфраструктуре поддержки экспорта, а также на </w:t>
      </w:r>
      <w:proofErr w:type="spellStart"/>
      <w:r w:rsidRPr="00AB26AD">
        <w:t>экспортно</w:t>
      </w:r>
      <w:proofErr w:type="spellEnd"/>
      <w:r w:rsidRPr="00AB26AD">
        <w:t xml:space="preserve"> ориентированных предприятиях Чувашской Республики;</w:t>
      </w:r>
    </w:p>
    <w:p w:rsidR="00A63E76" w:rsidRPr="00AB26AD" w:rsidRDefault="00A63E76" w:rsidP="00EF1EE6">
      <w:pPr>
        <w:ind w:left="-142" w:firstLine="851"/>
        <w:jc w:val="both"/>
      </w:pPr>
      <w:r w:rsidRPr="00AB26AD">
        <w:t>инструмент № 9. Формирование и анализ базы экспортеров и базы потенциальных экспортеров в субъекте РФ и проведение экспортного аудита. В Чувашской Республике сформирована база экспортеров товаров и услуг, которая ежегодно актуализируется. Проводится экспортный аудит – ведется работа по выявлению потенциальных экспортеров, определению их готовности к выходу на экспорт, выявлению потребностей в поддержке и барьеров для роста. База содержит наименования и контактные данные компаний, ИНН, ОКПД</w:t>
      </w:r>
      <w:proofErr w:type="gramStart"/>
      <w:r w:rsidRPr="00AB26AD">
        <w:t>2</w:t>
      </w:r>
      <w:proofErr w:type="gramEnd"/>
      <w:r w:rsidRPr="00AB26AD">
        <w:t>. Количество экспортеров по итогам 2023 года составило 616 ед., рост числа экспортеров – 20,3% (в 2022 году – 512 ед.). Количество экспортеров за 9 месяцев 2024 г. составило 556 ед. 90% экспортеров республики представлены из числа субъектов МСП  (66% – микро предприятия, 20% – малые предприятия, 4% – средние предприятия). Оценочно по итогам 2024 года количество экспортеров составит на уровне 2023 года;</w:t>
      </w:r>
    </w:p>
    <w:p w:rsidR="00A63E76" w:rsidRPr="00AB26AD" w:rsidRDefault="00A63E76" w:rsidP="00EF1EE6">
      <w:pPr>
        <w:ind w:left="-142" w:firstLine="851"/>
        <w:jc w:val="both"/>
      </w:pPr>
      <w:r w:rsidRPr="00AB26AD">
        <w:lastRenderedPageBreak/>
        <w:t xml:space="preserve">инструмент № 10. Организация обучения </w:t>
      </w:r>
      <w:proofErr w:type="spellStart"/>
      <w:r w:rsidRPr="00AB26AD">
        <w:t>экспортно</w:t>
      </w:r>
      <w:proofErr w:type="spellEnd"/>
      <w:r w:rsidRPr="00AB26AD">
        <w:t xml:space="preserve"> ориентированных субъектов предпринимательства основам экспортной деятельности. </w:t>
      </w:r>
      <w:proofErr w:type="gramStart"/>
      <w:r w:rsidRPr="00AB26AD">
        <w:t>На образовательной площадке ЦЭП Чувашии проводятся экспортные семинары: 1) «Основы экспортной деятельности»; 2) «Маркетинг как часть экспортного проекта»; 3) «Эффективная деловая коммуникация для экспортеров»; 4) «Правовые аспекты экспорта»; 5) «Финансовые инструменты экспорта»; 6) «Документационное сопровождение экспорта»; 7) «Таможенное регулирование экспорта»; 8) «Логистика для экспортёров»; 9) «Возможности онлайн-экспорта»; 10) «Налоги в экспортной деятельности».</w:t>
      </w:r>
      <w:proofErr w:type="gramEnd"/>
      <w:r w:rsidRPr="00AB26AD">
        <w:t xml:space="preserve"> В 2024 году прошли обучение 35 субъектов МСП;</w:t>
      </w:r>
    </w:p>
    <w:p w:rsidR="00A63E76" w:rsidRPr="00AB26AD" w:rsidRDefault="00A63E76" w:rsidP="00EF1EE6">
      <w:pPr>
        <w:ind w:left="-142" w:firstLine="851"/>
        <w:jc w:val="both"/>
      </w:pPr>
      <w:r w:rsidRPr="00AB26AD">
        <w:t xml:space="preserve">инструмент № 11. Организация комплекса мероприятий по расширению деловых связей субъектов предпринимательства, зарегистрированных в субъекте РФ, с потенциальными зарубежными контрагентами. На заседании Экспортного совета при Главе Чувашской Республики от 19.12.2022 № 1 утвержден План мероприятий по обеспечению присутствия Чувашской Республики на зарубежных рынках до 2025 года. </w:t>
      </w:r>
    </w:p>
    <w:p w:rsidR="00A63E76" w:rsidRPr="00AB26AD" w:rsidRDefault="00A63E76" w:rsidP="00EF1EE6">
      <w:pPr>
        <w:ind w:left="-142" w:firstLine="851"/>
        <w:jc w:val="both"/>
      </w:pPr>
      <w:proofErr w:type="gramStart"/>
      <w:r w:rsidRPr="00AB26AD">
        <w:t>В 2024 году республику посетило 24 официальных международных делегаций из Шри-Ланки, Белоруссии, Китая, Узбекистана, Турции, Ирана, Индии, Азербайджана, в том числе 14 делегаций с участием дипломатов из различных стран (Шри-Ланка, Белоруссия, Узбекистан, Турция, Иран).</w:t>
      </w:r>
      <w:proofErr w:type="gramEnd"/>
      <w:r w:rsidRPr="00AB26AD">
        <w:t xml:space="preserve"> </w:t>
      </w:r>
      <w:proofErr w:type="gramStart"/>
      <w:r w:rsidRPr="00AB26AD">
        <w:t>Кроме того, в сентябре 2024 г. Чувашскую Республику с целью участия в Международном форуме потребительской кооперации «Кооперация: ценим прошлое, созидая будущее» посетили представители кооперативных организаций Иордании, Камеруна, Марокко, Египта, Танзании, Бразилии, Нигерии и Филиппин, Китая, ЮАР, Белоруссии, Ирана.</w:t>
      </w:r>
      <w:proofErr w:type="gramEnd"/>
    </w:p>
    <w:p w:rsidR="00A63E76" w:rsidRPr="00AB26AD" w:rsidRDefault="00A63E76" w:rsidP="00EF1EE6">
      <w:pPr>
        <w:ind w:left="-142" w:firstLine="851"/>
        <w:jc w:val="both"/>
      </w:pPr>
      <w:r w:rsidRPr="00AB26AD">
        <w:t>Состоялись официальные визиты делегации Чувашской Республики в Киргизию, Узбекистан, Белоруссию, Индию и Китай.</w:t>
      </w:r>
    </w:p>
    <w:p w:rsidR="00A63E76" w:rsidRPr="00AB26AD" w:rsidRDefault="00A63E76" w:rsidP="00EF1EE6">
      <w:pPr>
        <w:ind w:left="-142" w:firstLine="851"/>
        <w:jc w:val="both"/>
      </w:pPr>
      <w:r w:rsidRPr="00AB26AD">
        <w:t xml:space="preserve">В 2024 году с целью установления деловых контактов и расширения географии экспорта ЦЭП Чувашии организованы 2 международные бизнес-миссии в Азербайджан с 12-14.08.2024, в Узбекистан с 28-30.10.2024 и 1 </w:t>
      </w:r>
      <w:proofErr w:type="gramStart"/>
      <w:r w:rsidRPr="00AB26AD">
        <w:t>реверсная</w:t>
      </w:r>
      <w:proofErr w:type="gramEnd"/>
      <w:r w:rsidRPr="00AB26AD">
        <w:t xml:space="preserve"> бизнес-миссия из Армении с 22-24.09.2024.</w:t>
      </w:r>
    </w:p>
    <w:p w:rsidR="00A63E76" w:rsidRPr="00AB26AD" w:rsidRDefault="00A63E76" w:rsidP="00EF1EE6">
      <w:pPr>
        <w:ind w:left="-142" w:firstLine="851"/>
        <w:jc w:val="both"/>
      </w:pPr>
      <w:r w:rsidRPr="00AB26AD">
        <w:t>В 2024 году ЦЭП Чувашии оказал поддержку малым и средним предприятиям, которые приняли участие в 11 выставках. Среди них:</w:t>
      </w:r>
    </w:p>
    <w:p w:rsidR="00A63E76" w:rsidRPr="00AB26AD" w:rsidRDefault="00A63E76" w:rsidP="00EF1EE6">
      <w:pPr>
        <w:ind w:left="-142" w:firstLine="851"/>
        <w:jc w:val="both"/>
      </w:pPr>
      <w:r w:rsidRPr="00AB26AD">
        <w:t>* Международная выставка продуктов питания, напитков и сырья для их производства «ПРОДЭКСПО – 2024»;</w:t>
      </w:r>
    </w:p>
    <w:p w:rsidR="00A63E76" w:rsidRPr="00AB26AD" w:rsidRDefault="00A63E76" w:rsidP="00EF1EE6">
      <w:pPr>
        <w:ind w:left="-142" w:firstLine="851"/>
        <w:jc w:val="both"/>
      </w:pPr>
      <w:r w:rsidRPr="00AB26AD">
        <w:t>* 17-я Международная выставка по энергетике, энергосбережению, атомной энергетике и альтернативным источникам энергии «</w:t>
      </w:r>
      <w:proofErr w:type="spellStart"/>
      <w:r w:rsidRPr="00AB26AD">
        <w:t>Power</w:t>
      </w:r>
      <w:proofErr w:type="spellEnd"/>
      <w:r w:rsidRPr="00AB26AD">
        <w:t xml:space="preserve"> </w:t>
      </w:r>
      <w:proofErr w:type="spellStart"/>
      <w:r w:rsidRPr="00AB26AD">
        <w:t>Uzbekistan</w:t>
      </w:r>
      <w:proofErr w:type="spellEnd"/>
      <w:r w:rsidRPr="00AB26AD">
        <w:t xml:space="preserve"> 2024»;</w:t>
      </w:r>
    </w:p>
    <w:p w:rsidR="00A63E76" w:rsidRPr="00AB26AD" w:rsidRDefault="00A63E76" w:rsidP="00EF1EE6">
      <w:pPr>
        <w:ind w:left="-142" w:firstLine="851"/>
        <w:jc w:val="both"/>
      </w:pPr>
      <w:r w:rsidRPr="00AB26AD">
        <w:t>* 30-я Казахстанская международная строительная и интерьерная выставка «</w:t>
      </w:r>
      <w:proofErr w:type="spellStart"/>
      <w:r w:rsidRPr="00AB26AD">
        <w:t>KazBuild</w:t>
      </w:r>
      <w:proofErr w:type="spellEnd"/>
      <w:r w:rsidRPr="00AB26AD">
        <w:t xml:space="preserve"> 2024»; </w:t>
      </w:r>
    </w:p>
    <w:p w:rsidR="00A63E76" w:rsidRPr="00AB26AD" w:rsidRDefault="00A63E76" w:rsidP="00EF1EE6">
      <w:pPr>
        <w:ind w:left="-142" w:firstLine="851"/>
        <w:jc w:val="both"/>
      </w:pPr>
      <w:r w:rsidRPr="00AB26AD">
        <w:t>* Международная осенняя выставка продуктов питания «</w:t>
      </w:r>
      <w:proofErr w:type="spellStart"/>
      <w:r w:rsidRPr="00AB26AD">
        <w:t>WorldFood</w:t>
      </w:r>
      <w:proofErr w:type="spellEnd"/>
      <w:r w:rsidRPr="00AB26AD">
        <w:t xml:space="preserve"> </w:t>
      </w:r>
      <w:proofErr w:type="spellStart"/>
      <w:r w:rsidRPr="00AB26AD">
        <w:t>Moskow</w:t>
      </w:r>
      <w:proofErr w:type="spellEnd"/>
      <w:r w:rsidRPr="00AB26AD">
        <w:t xml:space="preserve"> 2024»;   </w:t>
      </w:r>
    </w:p>
    <w:p w:rsidR="00A63E76" w:rsidRPr="00AB26AD" w:rsidRDefault="00A63E76" w:rsidP="00EF1EE6">
      <w:pPr>
        <w:ind w:left="-142" w:firstLine="851"/>
        <w:jc w:val="both"/>
      </w:pPr>
      <w:r w:rsidRPr="00AB26AD">
        <w:t>* Международная выставка нефтехимической промышленности «</w:t>
      </w:r>
      <w:proofErr w:type="spellStart"/>
      <w:r w:rsidRPr="00AB26AD">
        <w:t>ICIFChina</w:t>
      </w:r>
      <w:proofErr w:type="spellEnd"/>
      <w:r w:rsidRPr="00AB26AD">
        <w:t xml:space="preserve"> 2024»;</w:t>
      </w:r>
    </w:p>
    <w:p w:rsidR="00A63E76" w:rsidRPr="00AB26AD" w:rsidRDefault="00A63E76" w:rsidP="00EF1EE6">
      <w:pPr>
        <w:ind w:left="-142" w:firstLine="851"/>
        <w:jc w:val="both"/>
      </w:pPr>
      <w:r w:rsidRPr="00AB26AD">
        <w:t xml:space="preserve">- 2-я Международная выставка «Детская и юношеская мода» «CJF – ДЕТСКАЯ МОДА – 2024. Осень»;  </w:t>
      </w:r>
    </w:p>
    <w:p w:rsidR="00A63E76" w:rsidRPr="00AB26AD" w:rsidRDefault="00A63E76" w:rsidP="00EF1EE6">
      <w:pPr>
        <w:ind w:left="-142" w:firstLine="851"/>
        <w:jc w:val="both"/>
      </w:pPr>
      <w:r w:rsidRPr="00AB26AD">
        <w:t xml:space="preserve">- 29-я Международная выставка «Оборудование, технологии, сырье и ингредиенты для пищевой и перерабатывающей промышленности» «АГРОПРОДМАШ 2024»;  </w:t>
      </w:r>
    </w:p>
    <w:p w:rsidR="00A63E76" w:rsidRPr="00AB26AD" w:rsidRDefault="00A63E76" w:rsidP="00EF1EE6">
      <w:pPr>
        <w:ind w:left="-142" w:firstLine="851"/>
        <w:jc w:val="both"/>
      </w:pPr>
      <w:r w:rsidRPr="00AB26AD">
        <w:t>- Международная выставка-ярмарка «</w:t>
      </w:r>
      <w:proofErr w:type="spellStart"/>
      <w:r w:rsidRPr="00AB26AD">
        <w:t>CantonFair</w:t>
      </w:r>
      <w:proofErr w:type="spellEnd"/>
      <w:r w:rsidRPr="00AB26AD">
        <w:t xml:space="preserve">»;  </w:t>
      </w:r>
    </w:p>
    <w:p w:rsidR="00A63E76" w:rsidRPr="00AB26AD" w:rsidRDefault="00A63E76" w:rsidP="00EF1EE6">
      <w:pPr>
        <w:ind w:left="-142" w:firstLine="851"/>
        <w:jc w:val="both"/>
      </w:pPr>
      <w:r w:rsidRPr="00AB26AD">
        <w:t xml:space="preserve">- Международная выставка торговой строительной индустрии «Best5 </w:t>
      </w:r>
      <w:proofErr w:type="spellStart"/>
      <w:r w:rsidRPr="00AB26AD">
        <w:t>Algeria</w:t>
      </w:r>
      <w:proofErr w:type="spellEnd"/>
      <w:r w:rsidRPr="00AB26AD">
        <w:t xml:space="preserve"> 2024»;  </w:t>
      </w:r>
    </w:p>
    <w:p w:rsidR="00A63E76" w:rsidRPr="00AB26AD" w:rsidRDefault="00A63E76" w:rsidP="00EF1EE6">
      <w:pPr>
        <w:ind w:left="-142" w:firstLine="851"/>
        <w:jc w:val="both"/>
      </w:pPr>
      <w:r w:rsidRPr="00AB26AD">
        <w:t>- 35-я Международная выставка «Мебель, фурнитура и обивочные материалы» «Мебель – 2024»;</w:t>
      </w:r>
    </w:p>
    <w:p w:rsidR="00A63E76" w:rsidRPr="00AB26AD" w:rsidRDefault="00A63E76" w:rsidP="00EF1EE6">
      <w:pPr>
        <w:ind w:left="-142" w:firstLine="851"/>
        <w:jc w:val="both"/>
      </w:pPr>
      <w:r w:rsidRPr="00AB26AD">
        <w:t>- Международная выставка «</w:t>
      </w:r>
      <w:proofErr w:type="spellStart"/>
      <w:r w:rsidRPr="00AB26AD">
        <w:t>Algeria</w:t>
      </w:r>
      <w:proofErr w:type="spellEnd"/>
      <w:r w:rsidRPr="00AB26AD">
        <w:t xml:space="preserve"> </w:t>
      </w:r>
      <w:proofErr w:type="spellStart"/>
      <w:r w:rsidRPr="00AB26AD">
        <w:t>Woodtech</w:t>
      </w:r>
      <w:proofErr w:type="spellEnd"/>
      <w:r w:rsidRPr="00AB26AD">
        <w:t xml:space="preserve"> 2024»;</w:t>
      </w:r>
    </w:p>
    <w:p w:rsidR="00A63E76" w:rsidRPr="00AB26AD" w:rsidRDefault="00A63E76" w:rsidP="00EF1EE6">
      <w:pPr>
        <w:ind w:left="-142" w:firstLine="851"/>
        <w:jc w:val="both"/>
      </w:pPr>
      <w:r w:rsidRPr="00AB26AD">
        <w:t>инструмент № 12. Развитие экспортной деятельности через каналы электронной торговли. ЦЭП Чувашии проводятся:</w:t>
      </w:r>
    </w:p>
    <w:p w:rsidR="00A63E76" w:rsidRPr="00AB26AD" w:rsidRDefault="00A63E76" w:rsidP="00EF1EE6">
      <w:pPr>
        <w:ind w:left="-142" w:firstLine="851"/>
        <w:jc w:val="both"/>
      </w:pPr>
      <w:r w:rsidRPr="00AB26AD">
        <w:t>1) мероприятия, направленные на продвижение информации о преимуществах электронной торговли (круглые столы, конференции и т.д.);</w:t>
      </w:r>
    </w:p>
    <w:p w:rsidR="00A63E76" w:rsidRPr="00AB26AD" w:rsidRDefault="00A63E76" w:rsidP="00EF1EE6">
      <w:pPr>
        <w:ind w:left="-142" w:firstLine="851"/>
        <w:jc w:val="both"/>
      </w:pPr>
      <w:r w:rsidRPr="00AB26AD">
        <w:lastRenderedPageBreak/>
        <w:t>2) мероприятия по распространению среди предпринимательского сообщества историй успеха экспортеров, вышедших на внешние рынки посредством электронной торговли через СМИ, социальные сети и через другие источники.</w:t>
      </w:r>
    </w:p>
    <w:p w:rsidR="00A63E76" w:rsidRPr="00AB26AD" w:rsidRDefault="00A63E76" w:rsidP="00EF1EE6">
      <w:pPr>
        <w:ind w:left="-142" w:firstLine="851"/>
        <w:jc w:val="both"/>
      </w:pPr>
      <w:r w:rsidRPr="00AB26AD">
        <w:t>В 2024 году ЦЭП Чувашии:</w:t>
      </w:r>
    </w:p>
    <w:p w:rsidR="00A63E76" w:rsidRPr="00AB26AD" w:rsidRDefault="00A63E76" w:rsidP="00EF1EE6">
      <w:pPr>
        <w:ind w:left="-142" w:firstLine="851"/>
        <w:jc w:val="both"/>
      </w:pPr>
      <w:r w:rsidRPr="00AB26AD">
        <w:t>1) выявлено 3 истории успеха экспортеров (ООО «ДФ-</w:t>
      </w:r>
      <w:proofErr w:type="spellStart"/>
      <w:r w:rsidRPr="00AB26AD">
        <w:t>Хоум</w:t>
      </w:r>
      <w:proofErr w:type="spellEnd"/>
      <w:r w:rsidRPr="00AB26AD">
        <w:t>», ООО «</w:t>
      </w:r>
      <w:proofErr w:type="spellStart"/>
      <w:r w:rsidRPr="00AB26AD">
        <w:t>Гервент</w:t>
      </w:r>
      <w:proofErr w:type="spellEnd"/>
      <w:r w:rsidRPr="00AB26AD">
        <w:t xml:space="preserve"> </w:t>
      </w:r>
      <w:proofErr w:type="gramStart"/>
      <w:r w:rsidRPr="00AB26AD">
        <w:t>РУС</w:t>
      </w:r>
      <w:proofErr w:type="gramEnd"/>
      <w:r w:rsidRPr="00AB26AD">
        <w:t>», ООО «</w:t>
      </w:r>
      <w:proofErr w:type="spellStart"/>
      <w:r w:rsidRPr="00AB26AD">
        <w:t>Атфорс</w:t>
      </w:r>
      <w:proofErr w:type="spellEnd"/>
      <w:r w:rsidRPr="00AB26AD">
        <w:t>»), вышедших на внешние рынки посредством электронной торговли.</w:t>
      </w:r>
    </w:p>
    <w:p w:rsidR="00A63E76" w:rsidRPr="00AB26AD" w:rsidRDefault="00A63E76" w:rsidP="00EF1EE6">
      <w:pPr>
        <w:ind w:left="-142" w:firstLine="851"/>
        <w:jc w:val="both"/>
      </w:pPr>
      <w:r w:rsidRPr="00AB26AD">
        <w:t>2) для 2 отобранных по итогам обучения перспективных компаний обеспечены регистрация и продвижение на крупнейших целевых электронных площадках (ООО «</w:t>
      </w:r>
      <w:proofErr w:type="spellStart"/>
      <w:r w:rsidRPr="00AB26AD">
        <w:t>Гервент</w:t>
      </w:r>
      <w:proofErr w:type="spellEnd"/>
      <w:r w:rsidRPr="00AB26AD">
        <w:t xml:space="preserve"> </w:t>
      </w:r>
      <w:proofErr w:type="gramStart"/>
      <w:r w:rsidRPr="00AB26AD">
        <w:t>РУС</w:t>
      </w:r>
      <w:proofErr w:type="gramEnd"/>
      <w:r w:rsidRPr="00AB26AD">
        <w:t>» - Alibaba.com, ООО «</w:t>
      </w:r>
      <w:proofErr w:type="spellStart"/>
      <w:r w:rsidRPr="00AB26AD">
        <w:t>Атфорс</w:t>
      </w:r>
      <w:proofErr w:type="spellEnd"/>
      <w:r w:rsidRPr="00AB26AD">
        <w:t>» - Alibaba.com);</w:t>
      </w:r>
    </w:p>
    <w:p w:rsidR="00A63E76" w:rsidRPr="00AB26AD" w:rsidRDefault="00A63E76" w:rsidP="00EF1EE6">
      <w:pPr>
        <w:ind w:left="-142" w:firstLine="851"/>
        <w:jc w:val="both"/>
      </w:pPr>
      <w:r w:rsidRPr="00AB26AD">
        <w:t xml:space="preserve">инструмент № 13. Реализация на территории субъекта РФ акселерационных программ и других комплексных инструментов развития экспорта. Участие в акселерационных программах предусматривает следующие форматы: </w:t>
      </w:r>
    </w:p>
    <w:p w:rsidR="00A63E76" w:rsidRPr="00AB26AD" w:rsidRDefault="00A63E76" w:rsidP="00EF1EE6">
      <w:pPr>
        <w:ind w:left="-142" w:firstLine="851"/>
        <w:jc w:val="both"/>
      </w:pPr>
      <w:r w:rsidRPr="00AB26AD">
        <w:t>а) участие в акселерационной программе «</w:t>
      </w:r>
      <w:proofErr w:type="gramStart"/>
      <w:r w:rsidRPr="00AB26AD">
        <w:t>Экспортный</w:t>
      </w:r>
      <w:proofErr w:type="gramEnd"/>
      <w:r w:rsidRPr="00AB26AD">
        <w:t xml:space="preserve"> </w:t>
      </w:r>
      <w:proofErr w:type="spellStart"/>
      <w:r w:rsidRPr="00AB26AD">
        <w:t>форсаж</w:t>
      </w:r>
      <w:proofErr w:type="spellEnd"/>
      <w:r w:rsidRPr="00AB26AD">
        <w:t xml:space="preserve">», разработанной Школой экспорта РЭЦ; </w:t>
      </w:r>
    </w:p>
    <w:p w:rsidR="00A63E76" w:rsidRPr="00AB26AD" w:rsidRDefault="00A63E76" w:rsidP="00EF1EE6">
      <w:pPr>
        <w:ind w:left="-142" w:firstLine="851"/>
        <w:jc w:val="both"/>
      </w:pPr>
      <w:r w:rsidRPr="00AB26AD">
        <w:t xml:space="preserve">б) участия в отраслевых или </w:t>
      </w:r>
      <w:proofErr w:type="spellStart"/>
      <w:r w:rsidRPr="00AB26AD">
        <w:t>страновых</w:t>
      </w:r>
      <w:proofErr w:type="spellEnd"/>
      <w:r w:rsidRPr="00AB26AD">
        <w:t xml:space="preserve"> акселерационных программах на базе собственной инфраструктуры ЦЭП; </w:t>
      </w:r>
    </w:p>
    <w:p w:rsidR="00A63E76" w:rsidRPr="00AB26AD" w:rsidRDefault="00A63E76" w:rsidP="00EF1EE6">
      <w:pPr>
        <w:ind w:left="-142" w:firstLine="851"/>
        <w:jc w:val="both"/>
      </w:pPr>
      <w:r w:rsidRPr="00AB26AD">
        <w:t xml:space="preserve">в) участие в комплексных акселерационных программах партнерских организаций. </w:t>
      </w:r>
    </w:p>
    <w:p w:rsidR="00A63E76" w:rsidRPr="00AB26AD" w:rsidRDefault="00A63E76" w:rsidP="00EF1EE6">
      <w:pPr>
        <w:ind w:left="-142" w:firstLine="851"/>
        <w:jc w:val="both"/>
      </w:pPr>
      <w:r w:rsidRPr="00AB26AD">
        <w:t xml:space="preserve">В рамках акселерационных программ субъекты МСП совместно с тренерами и наставниками разрабатывают индивидуальную «дорожную карту» по выходу на внешние рынки. </w:t>
      </w:r>
    </w:p>
    <w:p w:rsidR="00A63E76" w:rsidRPr="00AB26AD" w:rsidRDefault="00A63E76" w:rsidP="00EF1EE6">
      <w:pPr>
        <w:ind w:left="-142" w:firstLine="851"/>
        <w:jc w:val="both"/>
      </w:pPr>
      <w:proofErr w:type="gramStart"/>
      <w:r w:rsidRPr="00AB26AD">
        <w:t>Обучение по вопросам</w:t>
      </w:r>
      <w:proofErr w:type="gramEnd"/>
      <w:r w:rsidRPr="00AB26AD">
        <w:t xml:space="preserve"> экспортной деятельности и организацию экспертного сопровождения оплачивает ЦЭП Чувашии.</w:t>
      </w:r>
    </w:p>
    <w:p w:rsidR="00A63E76" w:rsidRPr="00AB26AD" w:rsidRDefault="00A63E76" w:rsidP="00EF1EE6">
      <w:pPr>
        <w:ind w:left="-142" w:firstLine="851"/>
        <w:jc w:val="both"/>
      </w:pPr>
      <w:r w:rsidRPr="00AB26AD">
        <w:t>В Чувашской Республике создана площадка для взаимодействия бизнеса в целях обмена опытом по ведению экспортной деятельности – Клуб экспортеров Чувашской Республики при ТПП Чувашии. Разработана программа наставничества Клуба экспортеров на 2022-2024 годы.</w:t>
      </w:r>
    </w:p>
    <w:p w:rsidR="00A63E76" w:rsidRPr="00AB26AD" w:rsidRDefault="00A63E76" w:rsidP="00EF1EE6">
      <w:pPr>
        <w:ind w:left="-142" w:firstLine="851"/>
        <w:jc w:val="both"/>
      </w:pPr>
      <w:r w:rsidRPr="00AB26AD">
        <w:t>В 2024 году в рамках реализации акселерационной программы «</w:t>
      </w:r>
      <w:proofErr w:type="spellStart"/>
      <w:r w:rsidRPr="00AB26AD">
        <w:t>GoGlobal</w:t>
      </w:r>
      <w:proofErr w:type="spellEnd"/>
      <w:r w:rsidRPr="00AB26AD">
        <w:t>» прошли обучение 3 участника, в рамках программы профессиональной переподготовки «Экспортеры 2.0» - 1 участник;</w:t>
      </w:r>
    </w:p>
    <w:p w:rsidR="00A63E76" w:rsidRPr="00AB26AD" w:rsidRDefault="00A63E76" w:rsidP="00EF1EE6">
      <w:pPr>
        <w:ind w:left="-142" w:firstLine="851"/>
        <w:jc w:val="both"/>
      </w:pPr>
      <w:r w:rsidRPr="00AB26AD">
        <w:t>инструмент № 14. Создание и развитие механизмов популяризации экспортной деятельности среди экономически активного населения и молодежи субъекта РФ. В Чувашии:</w:t>
      </w:r>
    </w:p>
    <w:p w:rsidR="00A63E76" w:rsidRPr="00AB26AD" w:rsidRDefault="00A63E76" w:rsidP="00EF1EE6">
      <w:pPr>
        <w:ind w:left="-142" w:firstLine="851"/>
        <w:jc w:val="both"/>
      </w:pPr>
      <w:r w:rsidRPr="00AB26AD">
        <w:t>1) Создан специализированный раздел по экспорту на сайте ЦЭП Чувашии (https://ved21.ru/).</w:t>
      </w:r>
    </w:p>
    <w:p w:rsidR="00A63E76" w:rsidRPr="00AB26AD" w:rsidRDefault="00A63E76" w:rsidP="00EF1EE6">
      <w:pPr>
        <w:ind w:left="-142" w:firstLine="851"/>
        <w:jc w:val="both"/>
      </w:pPr>
      <w:r w:rsidRPr="00AB26AD">
        <w:t>2) В основных социальных сетях созданы профили Чувашской Республики, посвященные развитию экспортной деятельности.</w:t>
      </w:r>
    </w:p>
    <w:p w:rsidR="00A63E76" w:rsidRPr="00AB26AD" w:rsidRDefault="00A63E76" w:rsidP="00EF1EE6">
      <w:pPr>
        <w:ind w:left="-142" w:firstLine="851"/>
        <w:jc w:val="both"/>
      </w:pPr>
      <w:r w:rsidRPr="00AB26AD">
        <w:t>3) На ежегодной основе проводится региональный конкурс «Экспортер года».</w:t>
      </w:r>
    </w:p>
    <w:p w:rsidR="00A63E76" w:rsidRPr="00AB26AD" w:rsidRDefault="00A63E76" w:rsidP="00EF1EE6">
      <w:pPr>
        <w:ind w:left="-142" w:firstLine="851"/>
        <w:jc w:val="both"/>
      </w:pPr>
      <w:r w:rsidRPr="00AB26AD">
        <w:t>В 2024 году определены следующие победители и призеры:</w:t>
      </w:r>
    </w:p>
    <w:p w:rsidR="00A63E76" w:rsidRPr="00AB26AD" w:rsidRDefault="00A63E76" w:rsidP="00EF1EE6">
      <w:pPr>
        <w:ind w:left="-142" w:firstLine="851"/>
        <w:jc w:val="both"/>
      </w:pPr>
      <w:r w:rsidRPr="00AB26AD">
        <w:t>1. В номинации «Экспортер года в сфере промышленности» – ООО «ЖД Компоненты», директор Аверкиев С.В.</w:t>
      </w:r>
    </w:p>
    <w:p w:rsidR="00A63E76" w:rsidRPr="00AB26AD" w:rsidRDefault="00A63E76" w:rsidP="00EF1EE6">
      <w:pPr>
        <w:ind w:left="-142" w:firstLine="851"/>
        <w:jc w:val="both"/>
      </w:pPr>
      <w:r w:rsidRPr="00AB26AD">
        <w:t>2. В номинации «Экспортер года в сфере агропромышленного комплекса» – ООО «</w:t>
      </w:r>
      <w:proofErr w:type="spellStart"/>
      <w:r w:rsidRPr="00AB26AD">
        <w:t>Агрохмель</w:t>
      </w:r>
      <w:proofErr w:type="spellEnd"/>
      <w:r w:rsidRPr="00AB26AD">
        <w:t>», директор Семенов А.Б.</w:t>
      </w:r>
    </w:p>
    <w:p w:rsidR="00A63E76" w:rsidRPr="00AB26AD" w:rsidRDefault="00A63E76" w:rsidP="00EF1EE6">
      <w:pPr>
        <w:ind w:left="-142" w:firstLine="851"/>
        <w:jc w:val="both"/>
      </w:pPr>
      <w:r w:rsidRPr="00AB26AD">
        <w:t>3. В номинации «Экспортер года в сфере услуг» – индивидуальный предприниматель Лялин В.Г.</w:t>
      </w:r>
    </w:p>
    <w:p w:rsidR="00A63E76" w:rsidRPr="00AB26AD" w:rsidRDefault="00A63E76" w:rsidP="00EF1EE6">
      <w:pPr>
        <w:ind w:left="-142" w:firstLine="851"/>
        <w:jc w:val="both"/>
      </w:pPr>
      <w:r w:rsidRPr="00AB26AD">
        <w:t>4.В номинации «Экспортер года в сфере машиностроения» – ООО «ПП «</w:t>
      </w:r>
      <w:proofErr w:type="spellStart"/>
      <w:r w:rsidRPr="00AB26AD">
        <w:t>Спецдеталь</w:t>
      </w:r>
      <w:proofErr w:type="spellEnd"/>
      <w:r w:rsidRPr="00AB26AD">
        <w:t>», директор  Сухарев Г.И.</w:t>
      </w:r>
    </w:p>
    <w:p w:rsidR="00A63E76" w:rsidRPr="00AB26AD" w:rsidRDefault="00A63E76" w:rsidP="00EF1EE6">
      <w:pPr>
        <w:ind w:left="-142" w:firstLine="851"/>
        <w:jc w:val="both"/>
      </w:pPr>
      <w:r w:rsidRPr="00AB26AD">
        <w:t xml:space="preserve">5. В номинации «Трейдер года» – ООО «Смарт Трейд ЭМ ПИ </w:t>
      </w:r>
      <w:proofErr w:type="spellStart"/>
      <w:r w:rsidRPr="00AB26AD">
        <w:t>Ти</w:t>
      </w:r>
      <w:proofErr w:type="spellEnd"/>
      <w:r w:rsidRPr="00AB26AD">
        <w:t>», генеральный директор Мустафин А.Р.</w:t>
      </w:r>
    </w:p>
    <w:p w:rsidR="00A63E76" w:rsidRPr="00AB26AD" w:rsidRDefault="00A63E76" w:rsidP="00EF1EE6">
      <w:pPr>
        <w:ind w:left="-142" w:firstLine="851"/>
        <w:jc w:val="both"/>
      </w:pPr>
      <w:r w:rsidRPr="00AB26AD">
        <w:t>6. В номинации «Экспортер года в сфере готового продовольствия (высокие переделы)» – ООО «Спиртовой Завод «</w:t>
      </w:r>
      <w:proofErr w:type="spellStart"/>
      <w:r w:rsidRPr="00AB26AD">
        <w:t>Ядринский</w:t>
      </w:r>
      <w:proofErr w:type="spellEnd"/>
      <w:r w:rsidRPr="00AB26AD">
        <w:t>», генеральный директор Егоров А.Н.</w:t>
      </w:r>
    </w:p>
    <w:p w:rsidR="00A63E76" w:rsidRPr="00AB26AD" w:rsidRDefault="00A63E76" w:rsidP="00EF1EE6">
      <w:pPr>
        <w:ind w:left="-142" w:firstLine="851"/>
        <w:jc w:val="both"/>
      </w:pPr>
      <w:r w:rsidRPr="00AB26AD">
        <w:t>7. В номинации «Потенциальный экспортер года» – ООО «</w:t>
      </w:r>
      <w:proofErr w:type="spellStart"/>
      <w:r w:rsidRPr="00AB26AD">
        <w:t>Стулер</w:t>
      </w:r>
      <w:proofErr w:type="spellEnd"/>
      <w:r w:rsidRPr="00AB26AD">
        <w:t>», генеральный директор Пегасов М.Л.</w:t>
      </w:r>
    </w:p>
    <w:p w:rsidR="00A63E76" w:rsidRPr="00AB26AD" w:rsidRDefault="00A63E76" w:rsidP="00EF1EE6">
      <w:pPr>
        <w:ind w:left="-142" w:firstLine="851"/>
        <w:jc w:val="both"/>
      </w:pPr>
      <w:r w:rsidRPr="00AB26AD">
        <w:lastRenderedPageBreak/>
        <w:t>инструмент № 15. Создание и развитие механизмов продвижения продукции региональных компаний за рубежом.</w:t>
      </w:r>
    </w:p>
    <w:p w:rsidR="00A63E76" w:rsidRPr="00AB26AD" w:rsidRDefault="00A63E76" w:rsidP="00EF1EE6">
      <w:pPr>
        <w:ind w:left="-142" w:firstLine="851"/>
        <w:jc w:val="both"/>
      </w:pPr>
      <w:r w:rsidRPr="00AB26AD">
        <w:t xml:space="preserve">Минэкономразвития Чувашии и ЦЭП Чувашии регулярно осуществляются встречи и деловые переговоры с субъектами МСП Чувашии, торговыми представительствами РФ и представительствами РЭЦ за рубежом. </w:t>
      </w:r>
    </w:p>
    <w:p w:rsidR="00A63E76" w:rsidRPr="00AB26AD" w:rsidRDefault="00A63E76" w:rsidP="00EF1EE6">
      <w:pPr>
        <w:ind w:left="-142" w:firstLine="851"/>
        <w:jc w:val="both"/>
      </w:pPr>
      <w:r w:rsidRPr="00AB26AD">
        <w:t>Чувашская Республика реализует множество программ и механизмов поддержки региональных компаний для продвижения за рубежом:</w:t>
      </w:r>
    </w:p>
    <w:p w:rsidR="00A63E76" w:rsidRPr="00AB26AD" w:rsidRDefault="00A63E76" w:rsidP="00EF1EE6">
      <w:pPr>
        <w:ind w:left="-142" w:firstLine="851"/>
        <w:jc w:val="both"/>
      </w:pPr>
      <w:r w:rsidRPr="00AB26AD">
        <w:t>- налажена активная работа центра поддержки экспорта – ЦЭП Чувашии;</w:t>
      </w:r>
    </w:p>
    <w:p w:rsidR="00A63E76" w:rsidRPr="00AB26AD" w:rsidRDefault="00A63E76" w:rsidP="00EF1EE6">
      <w:pPr>
        <w:ind w:left="-142" w:firstLine="851"/>
        <w:jc w:val="both"/>
      </w:pPr>
      <w:r w:rsidRPr="00AB26AD">
        <w:t>- меры поддержки оказывают различные ведомства и иные подведомственные организации Чувашской Республики;</w:t>
      </w:r>
    </w:p>
    <w:p w:rsidR="00A63E76" w:rsidRPr="00AB26AD" w:rsidRDefault="00A63E76" w:rsidP="00EF1EE6">
      <w:pPr>
        <w:ind w:left="-142" w:firstLine="851"/>
        <w:jc w:val="both"/>
      </w:pPr>
      <w:r w:rsidRPr="00AB26AD">
        <w:t>- реализуется государственная программа Чувашской Республики «Экономическое развитие Чувашской Республики»;</w:t>
      </w:r>
    </w:p>
    <w:p w:rsidR="00A63E76" w:rsidRPr="00AB26AD" w:rsidRDefault="00A63E76" w:rsidP="00EF1EE6">
      <w:pPr>
        <w:ind w:left="-142" w:firstLine="851"/>
        <w:jc w:val="both"/>
      </w:pPr>
      <w:r w:rsidRPr="00AB26AD">
        <w:t>- реализуются региональные проекты Чувашской Республики «Системные меры развития международной кооперации и экспорта», «Промышленный экспорт», «Экспорт продукции АПК», направленные на реализацию национального проекта «Международная кооперация и экспорт».</w:t>
      </w:r>
    </w:p>
    <w:p w:rsidR="00A63E76" w:rsidRPr="00AB26AD" w:rsidRDefault="00A63E76" w:rsidP="00EF1EE6">
      <w:pPr>
        <w:ind w:left="-142" w:firstLine="851"/>
        <w:jc w:val="both"/>
      </w:pPr>
      <w:r w:rsidRPr="00AB26AD">
        <w:t>Регулярно проводятся мероприятия, направленные на стимулирование экспортной деятельности региональных компаний, а также формирование эффективной инфраструктуры поддержки экспорта.</w:t>
      </w:r>
    </w:p>
    <w:p w:rsidR="00A63E76" w:rsidRPr="00AB26AD" w:rsidRDefault="00A63E76" w:rsidP="00EF1EE6">
      <w:pPr>
        <w:ind w:left="-142" w:firstLine="851"/>
        <w:jc w:val="both"/>
      </w:pPr>
      <w:r w:rsidRPr="00AB26AD">
        <w:t>В 2024 году проведен социологический опрос среди экспортеров Чувашской Республики по оценке узнаваемости бренда «Сделано в Чувашии» на приоритетных зарубежных рынках.  Информация о 65 региональных экспортерах размещена в Республике Беларусь посредством СМИ за рубежом и сети «Интернет».</w:t>
      </w:r>
    </w:p>
    <w:p w:rsidR="00A63E76" w:rsidRPr="00AB26AD" w:rsidRDefault="00A63E76" w:rsidP="00EF1EE6">
      <w:pPr>
        <w:ind w:left="-142" w:firstLine="851"/>
        <w:jc w:val="both"/>
      </w:pPr>
    </w:p>
    <w:p w:rsidR="002C5262" w:rsidRPr="00810DEA" w:rsidRDefault="00A73F35" w:rsidP="00A73F35">
      <w:pPr>
        <w:autoSpaceDE w:val="0"/>
        <w:autoSpaceDN w:val="0"/>
        <w:adjustRightInd w:val="0"/>
        <w:ind w:left="-142" w:firstLine="851"/>
        <w:jc w:val="right"/>
      </w:pPr>
      <w:bookmarkStart w:id="0" w:name="_GoBack"/>
      <w:bookmarkEnd w:id="0"/>
      <w:r>
        <w:rPr>
          <w:noProof/>
          <w:color w:val="FF0000"/>
          <w:sz w:val="26"/>
          <w:szCs w:val="26"/>
        </w:rPr>
        <w:drawing>
          <wp:inline distT="0" distB="0" distL="0" distR="0">
            <wp:extent cx="2060575" cy="868045"/>
            <wp:effectExtent l="0" t="0" r="0" b="8255"/>
            <wp:docPr id="2" name="Рисунок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575" cy="868045"/>
                    </a:xfrm>
                    <a:prstGeom prst="rect">
                      <a:avLst/>
                    </a:prstGeom>
                    <a:noFill/>
                    <a:ln>
                      <a:noFill/>
                    </a:ln>
                  </pic:spPr>
                </pic:pic>
              </a:graphicData>
            </a:graphic>
          </wp:inline>
        </w:drawing>
      </w:r>
    </w:p>
    <w:sectPr w:rsidR="002C5262" w:rsidRPr="00810D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2F" w:rsidRDefault="0001022F">
      <w:r>
        <w:separator/>
      </w:r>
    </w:p>
  </w:endnote>
  <w:endnote w:type="continuationSeparator" w:id="0">
    <w:p w:rsidR="0001022F" w:rsidRDefault="0001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2F" w:rsidRDefault="0001022F">
      <w:r>
        <w:separator/>
      </w:r>
    </w:p>
  </w:footnote>
  <w:footnote w:type="continuationSeparator" w:id="0">
    <w:p w:rsidR="0001022F" w:rsidRDefault="00010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B1"/>
    <w:multiLevelType w:val="hybridMultilevel"/>
    <w:tmpl w:val="5924268C"/>
    <w:lvl w:ilvl="0" w:tplc="322E58B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E0D6B"/>
    <w:multiLevelType w:val="hybridMultilevel"/>
    <w:tmpl w:val="E9ECBC78"/>
    <w:lvl w:ilvl="0" w:tplc="FA7647A8">
      <w:start w:val="1"/>
      <w:numFmt w:val="bullet"/>
      <w:lvlText w:val="ü"/>
      <w:lvlJc w:val="left"/>
      <w:pPr>
        <w:ind w:left="360" w:hanging="360"/>
      </w:pPr>
      <w:rPr>
        <w:rFonts w:ascii="Wingdings" w:eastAsia="Wingdings" w:hAnsi="Wingdings" w:cs="Wingdings"/>
      </w:rPr>
    </w:lvl>
    <w:lvl w:ilvl="1" w:tplc="64D00824">
      <w:start w:val="1"/>
      <w:numFmt w:val="bullet"/>
      <w:lvlText w:val="o"/>
      <w:lvlJc w:val="left"/>
      <w:pPr>
        <w:ind w:left="1080" w:hanging="360"/>
      </w:pPr>
      <w:rPr>
        <w:rFonts w:ascii="Courier New" w:eastAsia="Courier New" w:hAnsi="Courier New" w:cs="Courier New" w:hint="default"/>
      </w:rPr>
    </w:lvl>
    <w:lvl w:ilvl="2" w:tplc="AAC83E94">
      <w:start w:val="1"/>
      <w:numFmt w:val="bullet"/>
      <w:lvlText w:val="§"/>
      <w:lvlJc w:val="left"/>
      <w:pPr>
        <w:ind w:left="1800" w:hanging="360"/>
      </w:pPr>
      <w:rPr>
        <w:rFonts w:ascii="Wingdings" w:eastAsia="Wingdings" w:hAnsi="Wingdings" w:cs="Wingdings" w:hint="default"/>
      </w:rPr>
    </w:lvl>
    <w:lvl w:ilvl="3" w:tplc="13725236">
      <w:start w:val="1"/>
      <w:numFmt w:val="bullet"/>
      <w:lvlText w:val="·"/>
      <w:lvlJc w:val="left"/>
      <w:pPr>
        <w:ind w:left="2520" w:hanging="360"/>
      </w:pPr>
      <w:rPr>
        <w:rFonts w:ascii="Symbol" w:eastAsia="Symbol" w:hAnsi="Symbol" w:cs="Symbol" w:hint="default"/>
      </w:rPr>
    </w:lvl>
    <w:lvl w:ilvl="4" w:tplc="49CA6042">
      <w:start w:val="1"/>
      <w:numFmt w:val="bullet"/>
      <w:lvlText w:val="o"/>
      <w:lvlJc w:val="left"/>
      <w:pPr>
        <w:ind w:left="3240" w:hanging="360"/>
      </w:pPr>
      <w:rPr>
        <w:rFonts w:ascii="Courier New" w:eastAsia="Courier New" w:hAnsi="Courier New" w:cs="Courier New" w:hint="default"/>
      </w:rPr>
    </w:lvl>
    <w:lvl w:ilvl="5" w:tplc="37C87FEC">
      <w:start w:val="1"/>
      <w:numFmt w:val="bullet"/>
      <w:lvlText w:val="§"/>
      <w:lvlJc w:val="left"/>
      <w:pPr>
        <w:ind w:left="3960" w:hanging="360"/>
      </w:pPr>
      <w:rPr>
        <w:rFonts w:ascii="Wingdings" w:eastAsia="Wingdings" w:hAnsi="Wingdings" w:cs="Wingdings" w:hint="default"/>
      </w:rPr>
    </w:lvl>
    <w:lvl w:ilvl="6" w:tplc="F1669F4C">
      <w:start w:val="1"/>
      <w:numFmt w:val="bullet"/>
      <w:lvlText w:val="·"/>
      <w:lvlJc w:val="left"/>
      <w:pPr>
        <w:ind w:left="4680" w:hanging="360"/>
      </w:pPr>
      <w:rPr>
        <w:rFonts w:ascii="Symbol" w:eastAsia="Symbol" w:hAnsi="Symbol" w:cs="Symbol" w:hint="default"/>
      </w:rPr>
    </w:lvl>
    <w:lvl w:ilvl="7" w:tplc="A8CE6078">
      <w:start w:val="1"/>
      <w:numFmt w:val="bullet"/>
      <w:lvlText w:val="o"/>
      <w:lvlJc w:val="left"/>
      <w:pPr>
        <w:ind w:left="5400" w:hanging="360"/>
      </w:pPr>
      <w:rPr>
        <w:rFonts w:ascii="Courier New" w:eastAsia="Courier New" w:hAnsi="Courier New" w:cs="Courier New" w:hint="default"/>
      </w:rPr>
    </w:lvl>
    <w:lvl w:ilvl="8" w:tplc="30546670">
      <w:start w:val="1"/>
      <w:numFmt w:val="bullet"/>
      <w:lvlText w:val="§"/>
      <w:lvlJc w:val="left"/>
      <w:pPr>
        <w:ind w:left="6120" w:hanging="360"/>
      </w:pPr>
      <w:rPr>
        <w:rFonts w:ascii="Wingdings" w:eastAsia="Wingdings" w:hAnsi="Wingdings" w:cs="Wingdings" w:hint="default"/>
      </w:rPr>
    </w:lvl>
  </w:abstractNum>
  <w:abstractNum w:abstractNumId="2">
    <w:nsid w:val="0E96533E"/>
    <w:multiLevelType w:val="hybridMultilevel"/>
    <w:tmpl w:val="5A74954A"/>
    <w:lvl w:ilvl="0" w:tplc="E72AFA56">
      <w:start w:val="1"/>
      <w:numFmt w:val="bullet"/>
      <w:lvlText w:val="ü"/>
      <w:lvlJc w:val="left"/>
      <w:pPr>
        <w:ind w:left="1418" w:hanging="360"/>
      </w:pPr>
      <w:rPr>
        <w:rFonts w:ascii="Wingdings" w:eastAsia="Wingdings" w:hAnsi="Wingdings" w:cs="Wingdings"/>
      </w:rPr>
    </w:lvl>
    <w:lvl w:ilvl="1" w:tplc="5ED8110C">
      <w:start w:val="1"/>
      <w:numFmt w:val="bullet"/>
      <w:lvlText w:val="o"/>
      <w:lvlJc w:val="left"/>
      <w:pPr>
        <w:ind w:left="2138" w:hanging="360"/>
      </w:pPr>
      <w:rPr>
        <w:rFonts w:ascii="Courier New" w:eastAsia="Courier New" w:hAnsi="Courier New" w:cs="Courier New" w:hint="default"/>
      </w:rPr>
    </w:lvl>
    <w:lvl w:ilvl="2" w:tplc="803E3A6C">
      <w:start w:val="1"/>
      <w:numFmt w:val="bullet"/>
      <w:lvlText w:val="§"/>
      <w:lvlJc w:val="left"/>
      <w:pPr>
        <w:ind w:left="2858" w:hanging="360"/>
      </w:pPr>
      <w:rPr>
        <w:rFonts w:ascii="Wingdings" w:eastAsia="Wingdings" w:hAnsi="Wingdings" w:cs="Wingdings" w:hint="default"/>
      </w:rPr>
    </w:lvl>
    <w:lvl w:ilvl="3" w:tplc="CF407142">
      <w:start w:val="1"/>
      <w:numFmt w:val="bullet"/>
      <w:lvlText w:val="·"/>
      <w:lvlJc w:val="left"/>
      <w:pPr>
        <w:ind w:left="3578" w:hanging="360"/>
      </w:pPr>
      <w:rPr>
        <w:rFonts w:ascii="Symbol" w:eastAsia="Symbol" w:hAnsi="Symbol" w:cs="Symbol" w:hint="default"/>
      </w:rPr>
    </w:lvl>
    <w:lvl w:ilvl="4" w:tplc="6630A43E">
      <w:start w:val="1"/>
      <w:numFmt w:val="bullet"/>
      <w:lvlText w:val="o"/>
      <w:lvlJc w:val="left"/>
      <w:pPr>
        <w:ind w:left="4298" w:hanging="360"/>
      </w:pPr>
      <w:rPr>
        <w:rFonts w:ascii="Courier New" w:eastAsia="Courier New" w:hAnsi="Courier New" w:cs="Courier New" w:hint="default"/>
      </w:rPr>
    </w:lvl>
    <w:lvl w:ilvl="5" w:tplc="68C84126">
      <w:start w:val="1"/>
      <w:numFmt w:val="bullet"/>
      <w:lvlText w:val="§"/>
      <w:lvlJc w:val="left"/>
      <w:pPr>
        <w:ind w:left="5018" w:hanging="360"/>
      </w:pPr>
      <w:rPr>
        <w:rFonts w:ascii="Wingdings" w:eastAsia="Wingdings" w:hAnsi="Wingdings" w:cs="Wingdings" w:hint="default"/>
      </w:rPr>
    </w:lvl>
    <w:lvl w:ilvl="6" w:tplc="A30A3A08">
      <w:start w:val="1"/>
      <w:numFmt w:val="bullet"/>
      <w:lvlText w:val="·"/>
      <w:lvlJc w:val="left"/>
      <w:pPr>
        <w:ind w:left="5738" w:hanging="360"/>
      </w:pPr>
      <w:rPr>
        <w:rFonts w:ascii="Symbol" w:eastAsia="Symbol" w:hAnsi="Symbol" w:cs="Symbol" w:hint="default"/>
      </w:rPr>
    </w:lvl>
    <w:lvl w:ilvl="7" w:tplc="94B67C96">
      <w:start w:val="1"/>
      <w:numFmt w:val="bullet"/>
      <w:lvlText w:val="o"/>
      <w:lvlJc w:val="left"/>
      <w:pPr>
        <w:ind w:left="6458" w:hanging="360"/>
      </w:pPr>
      <w:rPr>
        <w:rFonts w:ascii="Courier New" w:eastAsia="Courier New" w:hAnsi="Courier New" w:cs="Courier New" w:hint="default"/>
      </w:rPr>
    </w:lvl>
    <w:lvl w:ilvl="8" w:tplc="1162346E">
      <w:start w:val="1"/>
      <w:numFmt w:val="bullet"/>
      <w:lvlText w:val="§"/>
      <w:lvlJc w:val="left"/>
      <w:pPr>
        <w:ind w:left="7178" w:hanging="360"/>
      </w:pPr>
      <w:rPr>
        <w:rFonts w:ascii="Wingdings" w:eastAsia="Wingdings" w:hAnsi="Wingdings" w:cs="Wingdings" w:hint="default"/>
      </w:rPr>
    </w:lvl>
  </w:abstractNum>
  <w:abstractNum w:abstractNumId="3">
    <w:nsid w:val="1D4B0BD7"/>
    <w:multiLevelType w:val="hybridMultilevel"/>
    <w:tmpl w:val="D3EECC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B3D5F"/>
    <w:multiLevelType w:val="hybridMultilevel"/>
    <w:tmpl w:val="62F6D242"/>
    <w:lvl w:ilvl="0" w:tplc="A8CE54EC">
      <w:start w:val="1"/>
      <w:numFmt w:val="decimal"/>
      <w:lvlText w:val="%1."/>
      <w:lvlJc w:val="left"/>
      <w:pPr>
        <w:ind w:left="1417" w:hanging="360"/>
      </w:pPr>
    </w:lvl>
    <w:lvl w:ilvl="1" w:tplc="79762B3A">
      <w:start w:val="1"/>
      <w:numFmt w:val="lowerLetter"/>
      <w:lvlText w:val="%2."/>
      <w:lvlJc w:val="left"/>
      <w:pPr>
        <w:ind w:left="2137" w:hanging="360"/>
      </w:pPr>
    </w:lvl>
    <w:lvl w:ilvl="2" w:tplc="D2AE14EA">
      <w:start w:val="1"/>
      <w:numFmt w:val="lowerRoman"/>
      <w:lvlText w:val="%3."/>
      <w:lvlJc w:val="right"/>
      <w:pPr>
        <w:ind w:left="2857" w:hanging="180"/>
      </w:pPr>
    </w:lvl>
    <w:lvl w:ilvl="3" w:tplc="D9C26518">
      <w:start w:val="1"/>
      <w:numFmt w:val="decimal"/>
      <w:lvlText w:val="%4."/>
      <w:lvlJc w:val="left"/>
      <w:pPr>
        <w:ind w:left="3577" w:hanging="360"/>
      </w:pPr>
    </w:lvl>
    <w:lvl w:ilvl="4" w:tplc="D8BE8534">
      <w:start w:val="1"/>
      <w:numFmt w:val="lowerLetter"/>
      <w:lvlText w:val="%5."/>
      <w:lvlJc w:val="left"/>
      <w:pPr>
        <w:ind w:left="4297" w:hanging="360"/>
      </w:pPr>
    </w:lvl>
    <w:lvl w:ilvl="5" w:tplc="890E65D2">
      <w:start w:val="1"/>
      <w:numFmt w:val="lowerRoman"/>
      <w:lvlText w:val="%6."/>
      <w:lvlJc w:val="right"/>
      <w:pPr>
        <w:ind w:left="5017" w:hanging="180"/>
      </w:pPr>
    </w:lvl>
    <w:lvl w:ilvl="6" w:tplc="A9247F0A">
      <w:start w:val="1"/>
      <w:numFmt w:val="decimal"/>
      <w:lvlText w:val="%7."/>
      <w:lvlJc w:val="left"/>
      <w:pPr>
        <w:ind w:left="5737" w:hanging="360"/>
      </w:pPr>
    </w:lvl>
    <w:lvl w:ilvl="7" w:tplc="2E246C62">
      <w:start w:val="1"/>
      <w:numFmt w:val="lowerLetter"/>
      <w:lvlText w:val="%8."/>
      <w:lvlJc w:val="left"/>
      <w:pPr>
        <w:ind w:left="6457" w:hanging="360"/>
      </w:pPr>
    </w:lvl>
    <w:lvl w:ilvl="8" w:tplc="684826F4">
      <w:start w:val="1"/>
      <w:numFmt w:val="lowerRoman"/>
      <w:lvlText w:val="%9."/>
      <w:lvlJc w:val="right"/>
      <w:pPr>
        <w:ind w:left="7177" w:hanging="180"/>
      </w:pPr>
    </w:lvl>
  </w:abstractNum>
  <w:abstractNum w:abstractNumId="5">
    <w:nsid w:val="2C882A48"/>
    <w:multiLevelType w:val="hybridMultilevel"/>
    <w:tmpl w:val="B304424C"/>
    <w:lvl w:ilvl="0" w:tplc="D0E2EA08">
      <w:start w:val="1"/>
      <w:numFmt w:val="decimal"/>
      <w:lvlText w:val="%1."/>
      <w:lvlJc w:val="left"/>
      <w:pPr>
        <w:ind w:left="1249" w:hanging="360"/>
      </w:pPr>
    </w:lvl>
    <w:lvl w:ilvl="1" w:tplc="DDF82C0A">
      <w:start w:val="1"/>
      <w:numFmt w:val="lowerLetter"/>
      <w:lvlText w:val="%2."/>
      <w:lvlJc w:val="left"/>
      <w:pPr>
        <w:ind w:left="1969" w:hanging="360"/>
      </w:pPr>
    </w:lvl>
    <w:lvl w:ilvl="2" w:tplc="D0501FA8">
      <w:start w:val="1"/>
      <w:numFmt w:val="lowerRoman"/>
      <w:lvlText w:val="%3."/>
      <w:lvlJc w:val="right"/>
      <w:pPr>
        <w:ind w:left="2689" w:hanging="180"/>
      </w:pPr>
    </w:lvl>
    <w:lvl w:ilvl="3" w:tplc="DEA05574">
      <w:start w:val="1"/>
      <w:numFmt w:val="decimal"/>
      <w:lvlText w:val="%4."/>
      <w:lvlJc w:val="left"/>
      <w:pPr>
        <w:ind w:left="3409" w:hanging="360"/>
      </w:pPr>
    </w:lvl>
    <w:lvl w:ilvl="4" w:tplc="A5A2B376">
      <w:start w:val="1"/>
      <w:numFmt w:val="lowerLetter"/>
      <w:lvlText w:val="%5."/>
      <w:lvlJc w:val="left"/>
      <w:pPr>
        <w:ind w:left="4129" w:hanging="360"/>
      </w:pPr>
    </w:lvl>
    <w:lvl w:ilvl="5" w:tplc="34609DDC">
      <w:start w:val="1"/>
      <w:numFmt w:val="lowerRoman"/>
      <w:lvlText w:val="%6."/>
      <w:lvlJc w:val="right"/>
      <w:pPr>
        <w:ind w:left="4849" w:hanging="180"/>
      </w:pPr>
    </w:lvl>
    <w:lvl w:ilvl="6" w:tplc="8B4A35B0">
      <w:start w:val="1"/>
      <w:numFmt w:val="decimal"/>
      <w:lvlText w:val="%7."/>
      <w:lvlJc w:val="left"/>
      <w:pPr>
        <w:ind w:left="5569" w:hanging="360"/>
      </w:pPr>
    </w:lvl>
    <w:lvl w:ilvl="7" w:tplc="2F38FD08">
      <w:start w:val="1"/>
      <w:numFmt w:val="lowerLetter"/>
      <w:lvlText w:val="%8."/>
      <w:lvlJc w:val="left"/>
      <w:pPr>
        <w:ind w:left="6289" w:hanging="360"/>
      </w:pPr>
    </w:lvl>
    <w:lvl w:ilvl="8" w:tplc="D9460D4C">
      <w:start w:val="1"/>
      <w:numFmt w:val="lowerRoman"/>
      <w:lvlText w:val="%9."/>
      <w:lvlJc w:val="right"/>
      <w:pPr>
        <w:ind w:left="7009" w:hanging="180"/>
      </w:pPr>
    </w:lvl>
  </w:abstractNum>
  <w:abstractNum w:abstractNumId="6">
    <w:nsid w:val="30B431E2"/>
    <w:multiLevelType w:val="hybridMultilevel"/>
    <w:tmpl w:val="D250D7BA"/>
    <w:lvl w:ilvl="0" w:tplc="16B8EDD6">
      <w:start w:val="1"/>
      <w:numFmt w:val="upperRoman"/>
      <w:lvlText w:val="%1."/>
      <w:lvlJc w:val="left"/>
      <w:pPr>
        <w:ind w:left="1713"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0B3F72"/>
    <w:multiLevelType w:val="hybridMultilevel"/>
    <w:tmpl w:val="98D48AB2"/>
    <w:lvl w:ilvl="0" w:tplc="59B01E70">
      <w:start w:val="1"/>
      <w:numFmt w:val="bullet"/>
      <w:lvlText w:val="ü"/>
      <w:lvlJc w:val="left"/>
      <w:pPr>
        <w:ind w:left="1418" w:hanging="360"/>
      </w:pPr>
      <w:rPr>
        <w:rFonts w:ascii="Wingdings" w:eastAsia="Wingdings" w:hAnsi="Wingdings" w:cs="Wingdings"/>
      </w:rPr>
    </w:lvl>
    <w:lvl w:ilvl="1" w:tplc="0284F146">
      <w:start w:val="1"/>
      <w:numFmt w:val="bullet"/>
      <w:lvlText w:val="o"/>
      <w:lvlJc w:val="left"/>
      <w:pPr>
        <w:ind w:left="2138" w:hanging="360"/>
      </w:pPr>
      <w:rPr>
        <w:rFonts w:ascii="Courier New" w:eastAsia="Courier New" w:hAnsi="Courier New" w:cs="Courier New" w:hint="default"/>
      </w:rPr>
    </w:lvl>
    <w:lvl w:ilvl="2" w:tplc="99C826C0">
      <w:start w:val="1"/>
      <w:numFmt w:val="bullet"/>
      <w:lvlText w:val="§"/>
      <w:lvlJc w:val="left"/>
      <w:pPr>
        <w:ind w:left="2858" w:hanging="360"/>
      </w:pPr>
      <w:rPr>
        <w:rFonts w:ascii="Wingdings" w:eastAsia="Wingdings" w:hAnsi="Wingdings" w:cs="Wingdings" w:hint="default"/>
      </w:rPr>
    </w:lvl>
    <w:lvl w:ilvl="3" w:tplc="FC8AEDBA">
      <w:start w:val="1"/>
      <w:numFmt w:val="bullet"/>
      <w:lvlText w:val="·"/>
      <w:lvlJc w:val="left"/>
      <w:pPr>
        <w:ind w:left="3578" w:hanging="360"/>
      </w:pPr>
      <w:rPr>
        <w:rFonts w:ascii="Symbol" w:eastAsia="Symbol" w:hAnsi="Symbol" w:cs="Symbol" w:hint="default"/>
      </w:rPr>
    </w:lvl>
    <w:lvl w:ilvl="4" w:tplc="9A9E4A44">
      <w:start w:val="1"/>
      <w:numFmt w:val="bullet"/>
      <w:lvlText w:val="o"/>
      <w:lvlJc w:val="left"/>
      <w:pPr>
        <w:ind w:left="4298" w:hanging="360"/>
      </w:pPr>
      <w:rPr>
        <w:rFonts w:ascii="Courier New" w:eastAsia="Courier New" w:hAnsi="Courier New" w:cs="Courier New" w:hint="default"/>
      </w:rPr>
    </w:lvl>
    <w:lvl w:ilvl="5" w:tplc="68308A20">
      <w:start w:val="1"/>
      <w:numFmt w:val="bullet"/>
      <w:lvlText w:val="§"/>
      <w:lvlJc w:val="left"/>
      <w:pPr>
        <w:ind w:left="5018" w:hanging="360"/>
      </w:pPr>
      <w:rPr>
        <w:rFonts w:ascii="Wingdings" w:eastAsia="Wingdings" w:hAnsi="Wingdings" w:cs="Wingdings" w:hint="default"/>
      </w:rPr>
    </w:lvl>
    <w:lvl w:ilvl="6" w:tplc="66FE9C04">
      <w:start w:val="1"/>
      <w:numFmt w:val="bullet"/>
      <w:lvlText w:val="·"/>
      <w:lvlJc w:val="left"/>
      <w:pPr>
        <w:ind w:left="5738" w:hanging="360"/>
      </w:pPr>
      <w:rPr>
        <w:rFonts w:ascii="Symbol" w:eastAsia="Symbol" w:hAnsi="Symbol" w:cs="Symbol" w:hint="default"/>
      </w:rPr>
    </w:lvl>
    <w:lvl w:ilvl="7" w:tplc="F2F64DFE">
      <w:start w:val="1"/>
      <w:numFmt w:val="bullet"/>
      <w:lvlText w:val="o"/>
      <w:lvlJc w:val="left"/>
      <w:pPr>
        <w:ind w:left="6458" w:hanging="360"/>
      </w:pPr>
      <w:rPr>
        <w:rFonts w:ascii="Courier New" w:eastAsia="Courier New" w:hAnsi="Courier New" w:cs="Courier New" w:hint="default"/>
      </w:rPr>
    </w:lvl>
    <w:lvl w:ilvl="8" w:tplc="7DD24750">
      <w:start w:val="1"/>
      <w:numFmt w:val="bullet"/>
      <w:lvlText w:val="§"/>
      <w:lvlJc w:val="left"/>
      <w:pPr>
        <w:ind w:left="7178" w:hanging="360"/>
      </w:pPr>
      <w:rPr>
        <w:rFonts w:ascii="Wingdings" w:eastAsia="Wingdings" w:hAnsi="Wingdings" w:cs="Wingdings" w:hint="default"/>
      </w:rPr>
    </w:lvl>
  </w:abstractNum>
  <w:abstractNum w:abstractNumId="8">
    <w:nsid w:val="45E06DF8"/>
    <w:multiLevelType w:val="hybridMultilevel"/>
    <w:tmpl w:val="042C7604"/>
    <w:lvl w:ilvl="0" w:tplc="1234D0A2">
      <w:start w:val="1"/>
      <w:numFmt w:val="decimal"/>
      <w:lvlText w:val="%1."/>
      <w:lvlJc w:val="left"/>
      <w:pPr>
        <w:ind w:left="1287" w:hanging="360"/>
      </w:pPr>
    </w:lvl>
    <w:lvl w:ilvl="1" w:tplc="5AB2DEEC">
      <w:start w:val="1"/>
      <w:numFmt w:val="lowerLetter"/>
      <w:lvlText w:val="%2."/>
      <w:lvlJc w:val="left"/>
      <w:pPr>
        <w:ind w:left="2007" w:hanging="360"/>
      </w:pPr>
    </w:lvl>
    <w:lvl w:ilvl="2" w:tplc="9EBAF428">
      <w:start w:val="1"/>
      <w:numFmt w:val="lowerRoman"/>
      <w:lvlText w:val="%3."/>
      <w:lvlJc w:val="right"/>
      <w:pPr>
        <w:ind w:left="2727" w:hanging="180"/>
      </w:pPr>
    </w:lvl>
    <w:lvl w:ilvl="3" w:tplc="6A549E0E">
      <w:start w:val="1"/>
      <w:numFmt w:val="decimal"/>
      <w:lvlText w:val="%4."/>
      <w:lvlJc w:val="left"/>
      <w:pPr>
        <w:ind w:left="3447" w:hanging="360"/>
      </w:pPr>
    </w:lvl>
    <w:lvl w:ilvl="4" w:tplc="1DE2DD6E">
      <w:start w:val="1"/>
      <w:numFmt w:val="lowerLetter"/>
      <w:lvlText w:val="%5."/>
      <w:lvlJc w:val="left"/>
      <w:pPr>
        <w:ind w:left="4167" w:hanging="360"/>
      </w:pPr>
    </w:lvl>
    <w:lvl w:ilvl="5" w:tplc="59663A6E">
      <w:start w:val="1"/>
      <w:numFmt w:val="lowerRoman"/>
      <w:lvlText w:val="%6."/>
      <w:lvlJc w:val="right"/>
      <w:pPr>
        <w:ind w:left="4887" w:hanging="180"/>
      </w:pPr>
    </w:lvl>
    <w:lvl w:ilvl="6" w:tplc="00F4D906">
      <w:start w:val="1"/>
      <w:numFmt w:val="decimal"/>
      <w:lvlText w:val="%7."/>
      <w:lvlJc w:val="left"/>
      <w:pPr>
        <w:ind w:left="5607" w:hanging="360"/>
      </w:pPr>
    </w:lvl>
    <w:lvl w:ilvl="7" w:tplc="5E24146A">
      <w:start w:val="1"/>
      <w:numFmt w:val="lowerLetter"/>
      <w:lvlText w:val="%8."/>
      <w:lvlJc w:val="left"/>
      <w:pPr>
        <w:ind w:left="6327" w:hanging="360"/>
      </w:pPr>
    </w:lvl>
    <w:lvl w:ilvl="8" w:tplc="677C786E">
      <w:start w:val="1"/>
      <w:numFmt w:val="lowerRoman"/>
      <w:lvlText w:val="%9."/>
      <w:lvlJc w:val="right"/>
      <w:pPr>
        <w:ind w:left="7047" w:hanging="180"/>
      </w:pPr>
    </w:lvl>
  </w:abstractNum>
  <w:abstractNum w:abstractNumId="9">
    <w:nsid w:val="4B664785"/>
    <w:multiLevelType w:val="hybridMultilevel"/>
    <w:tmpl w:val="E6387542"/>
    <w:lvl w:ilvl="0" w:tplc="08889F56">
      <w:start w:val="1"/>
      <w:numFmt w:val="decimal"/>
      <w:lvlText w:val="%1."/>
      <w:lvlJc w:val="left"/>
      <w:pPr>
        <w:ind w:left="1069" w:hanging="360"/>
      </w:pPr>
    </w:lvl>
    <w:lvl w:ilvl="1" w:tplc="4BC40FDE">
      <w:start w:val="1"/>
      <w:numFmt w:val="lowerLetter"/>
      <w:lvlText w:val="%2."/>
      <w:lvlJc w:val="left"/>
      <w:pPr>
        <w:ind w:left="1789" w:hanging="360"/>
      </w:pPr>
    </w:lvl>
    <w:lvl w:ilvl="2" w:tplc="1DE8B67C">
      <w:start w:val="1"/>
      <w:numFmt w:val="lowerRoman"/>
      <w:lvlText w:val="%3."/>
      <w:lvlJc w:val="right"/>
      <w:pPr>
        <w:ind w:left="2509" w:hanging="180"/>
      </w:pPr>
    </w:lvl>
    <w:lvl w:ilvl="3" w:tplc="69E27AE8">
      <w:start w:val="1"/>
      <w:numFmt w:val="decimal"/>
      <w:lvlText w:val="%4."/>
      <w:lvlJc w:val="left"/>
      <w:pPr>
        <w:ind w:left="3229" w:hanging="360"/>
      </w:pPr>
    </w:lvl>
    <w:lvl w:ilvl="4" w:tplc="A73424C0">
      <w:start w:val="1"/>
      <w:numFmt w:val="lowerLetter"/>
      <w:lvlText w:val="%5."/>
      <w:lvlJc w:val="left"/>
      <w:pPr>
        <w:ind w:left="3949" w:hanging="360"/>
      </w:pPr>
    </w:lvl>
    <w:lvl w:ilvl="5" w:tplc="58CAA462">
      <w:start w:val="1"/>
      <w:numFmt w:val="lowerRoman"/>
      <w:lvlText w:val="%6."/>
      <w:lvlJc w:val="right"/>
      <w:pPr>
        <w:ind w:left="4669" w:hanging="180"/>
      </w:pPr>
    </w:lvl>
    <w:lvl w:ilvl="6" w:tplc="CFA82030">
      <w:start w:val="1"/>
      <w:numFmt w:val="decimal"/>
      <w:lvlText w:val="%7."/>
      <w:lvlJc w:val="left"/>
      <w:pPr>
        <w:ind w:left="5389" w:hanging="360"/>
      </w:pPr>
    </w:lvl>
    <w:lvl w:ilvl="7" w:tplc="22E89270">
      <w:start w:val="1"/>
      <w:numFmt w:val="lowerLetter"/>
      <w:lvlText w:val="%8."/>
      <w:lvlJc w:val="left"/>
      <w:pPr>
        <w:ind w:left="6109" w:hanging="360"/>
      </w:pPr>
    </w:lvl>
    <w:lvl w:ilvl="8" w:tplc="59BE4440">
      <w:start w:val="1"/>
      <w:numFmt w:val="lowerRoman"/>
      <w:lvlText w:val="%9."/>
      <w:lvlJc w:val="right"/>
      <w:pPr>
        <w:ind w:left="6829" w:hanging="180"/>
      </w:pPr>
    </w:lvl>
  </w:abstractNum>
  <w:abstractNum w:abstractNumId="10">
    <w:nsid w:val="5079058B"/>
    <w:multiLevelType w:val="hybridMultilevel"/>
    <w:tmpl w:val="2C96E750"/>
    <w:lvl w:ilvl="0" w:tplc="0E2AB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55200D"/>
    <w:multiLevelType w:val="hybridMultilevel"/>
    <w:tmpl w:val="554E2720"/>
    <w:lvl w:ilvl="0" w:tplc="0419000F">
      <w:start w:val="7"/>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39393C"/>
    <w:multiLevelType w:val="hybridMultilevel"/>
    <w:tmpl w:val="466C152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DF286E"/>
    <w:multiLevelType w:val="hybridMultilevel"/>
    <w:tmpl w:val="88B27E94"/>
    <w:lvl w:ilvl="0" w:tplc="77462D7C">
      <w:start w:val="1"/>
      <w:numFmt w:val="bullet"/>
      <w:lvlText w:val="ü"/>
      <w:lvlJc w:val="left"/>
      <w:pPr>
        <w:ind w:left="1418" w:hanging="360"/>
      </w:pPr>
      <w:rPr>
        <w:rFonts w:ascii="Wingdings" w:eastAsia="Wingdings" w:hAnsi="Wingdings" w:cs="Wingdings"/>
      </w:rPr>
    </w:lvl>
    <w:lvl w:ilvl="1" w:tplc="439C0776">
      <w:start w:val="1"/>
      <w:numFmt w:val="bullet"/>
      <w:lvlText w:val="o"/>
      <w:lvlJc w:val="left"/>
      <w:pPr>
        <w:ind w:left="2138" w:hanging="360"/>
      </w:pPr>
      <w:rPr>
        <w:rFonts w:ascii="Courier New" w:eastAsia="Courier New" w:hAnsi="Courier New" w:cs="Courier New" w:hint="default"/>
      </w:rPr>
    </w:lvl>
    <w:lvl w:ilvl="2" w:tplc="9C38836A">
      <w:start w:val="1"/>
      <w:numFmt w:val="bullet"/>
      <w:lvlText w:val="§"/>
      <w:lvlJc w:val="left"/>
      <w:pPr>
        <w:ind w:left="2858" w:hanging="360"/>
      </w:pPr>
      <w:rPr>
        <w:rFonts w:ascii="Wingdings" w:eastAsia="Wingdings" w:hAnsi="Wingdings" w:cs="Wingdings" w:hint="default"/>
      </w:rPr>
    </w:lvl>
    <w:lvl w:ilvl="3" w:tplc="02605962">
      <w:start w:val="1"/>
      <w:numFmt w:val="bullet"/>
      <w:lvlText w:val="·"/>
      <w:lvlJc w:val="left"/>
      <w:pPr>
        <w:ind w:left="3578" w:hanging="360"/>
      </w:pPr>
      <w:rPr>
        <w:rFonts w:ascii="Symbol" w:eastAsia="Symbol" w:hAnsi="Symbol" w:cs="Symbol" w:hint="default"/>
      </w:rPr>
    </w:lvl>
    <w:lvl w:ilvl="4" w:tplc="7FB02BB6">
      <w:start w:val="1"/>
      <w:numFmt w:val="bullet"/>
      <w:lvlText w:val="o"/>
      <w:lvlJc w:val="left"/>
      <w:pPr>
        <w:ind w:left="4298" w:hanging="360"/>
      </w:pPr>
      <w:rPr>
        <w:rFonts w:ascii="Courier New" w:eastAsia="Courier New" w:hAnsi="Courier New" w:cs="Courier New" w:hint="default"/>
      </w:rPr>
    </w:lvl>
    <w:lvl w:ilvl="5" w:tplc="61600AC2">
      <w:start w:val="1"/>
      <w:numFmt w:val="bullet"/>
      <w:lvlText w:val="§"/>
      <w:lvlJc w:val="left"/>
      <w:pPr>
        <w:ind w:left="5018" w:hanging="360"/>
      </w:pPr>
      <w:rPr>
        <w:rFonts w:ascii="Wingdings" w:eastAsia="Wingdings" w:hAnsi="Wingdings" w:cs="Wingdings" w:hint="default"/>
      </w:rPr>
    </w:lvl>
    <w:lvl w:ilvl="6" w:tplc="19925110">
      <w:start w:val="1"/>
      <w:numFmt w:val="bullet"/>
      <w:lvlText w:val="·"/>
      <w:lvlJc w:val="left"/>
      <w:pPr>
        <w:ind w:left="5738" w:hanging="360"/>
      </w:pPr>
      <w:rPr>
        <w:rFonts w:ascii="Symbol" w:eastAsia="Symbol" w:hAnsi="Symbol" w:cs="Symbol" w:hint="default"/>
      </w:rPr>
    </w:lvl>
    <w:lvl w:ilvl="7" w:tplc="6C4AC826">
      <w:start w:val="1"/>
      <w:numFmt w:val="bullet"/>
      <w:lvlText w:val="o"/>
      <w:lvlJc w:val="left"/>
      <w:pPr>
        <w:ind w:left="6458" w:hanging="360"/>
      </w:pPr>
      <w:rPr>
        <w:rFonts w:ascii="Courier New" w:eastAsia="Courier New" w:hAnsi="Courier New" w:cs="Courier New" w:hint="default"/>
      </w:rPr>
    </w:lvl>
    <w:lvl w:ilvl="8" w:tplc="0EFC291E">
      <w:start w:val="1"/>
      <w:numFmt w:val="bullet"/>
      <w:lvlText w:val="§"/>
      <w:lvlJc w:val="left"/>
      <w:pPr>
        <w:ind w:left="7178" w:hanging="360"/>
      </w:pPr>
      <w:rPr>
        <w:rFonts w:ascii="Wingdings" w:eastAsia="Wingdings" w:hAnsi="Wingdings" w:cs="Wingdings" w:hint="default"/>
      </w:rPr>
    </w:lvl>
  </w:abstractNum>
  <w:abstractNum w:abstractNumId="14">
    <w:nsid w:val="6D0C279C"/>
    <w:multiLevelType w:val="hybridMultilevel"/>
    <w:tmpl w:val="8864EAEE"/>
    <w:lvl w:ilvl="0" w:tplc="3C1C5FD2">
      <w:start w:val="1"/>
      <w:numFmt w:val="bullet"/>
      <w:lvlText w:val=""/>
      <w:lvlJc w:val="left"/>
      <w:pPr>
        <w:ind w:left="1069" w:hanging="360"/>
      </w:pPr>
      <w:rPr>
        <w:rFonts w:ascii="Symbol" w:hAnsi="Symbol"/>
      </w:rPr>
    </w:lvl>
    <w:lvl w:ilvl="1" w:tplc="80085416">
      <w:start w:val="1"/>
      <w:numFmt w:val="lowerLetter"/>
      <w:lvlText w:val="%2."/>
      <w:lvlJc w:val="left"/>
      <w:pPr>
        <w:ind w:left="1789" w:hanging="360"/>
      </w:pPr>
    </w:lvl>
    <w:lvl w:ilvl="2" w:tplc="62EEC9C6">
      <w:start w:val="1"/>
      <w:numFmt w:val="lowerRoman"/>
      <w:lvlText w:val="%3."/>
      <w:lvlJc w:val="right"/>
      <w:pPr>
        <w:ind w:left="2509" w:hanging="180"/>
      </w:pPr>
    </w:lvl>
    <w:lvl w:ilvl="3" w:tplc="568A6E04">
      <w:start w:val="1"/>
      <w:numFmt w:val="decimal"/>
      <w:lvlText w:val="%4."/>
      <w:lvlJc w:val="left"/>
      <w:pPr>
        <w:ind w:left="3229" w:hanging="360"/>
      </w:pPr>
    </w:lvl>
    <w:lvl w:ilvl="4" w:tplc="1DEC6746">
      <w:start w:val="1"/>
      <w:numFmt w:val="lowerLetter"/>
      <w:lvlText w:val="%5."/>
      <w:lvlJc w:val="left"/>
      <w:pPr>
        <w:ind w:left="3949" w:hanging="360"/>
      </w:pPr>
    </w:lvl>
    <w:lvl w:ilvl="5" w:tplc="8494BA5A">
      <w:start w:val="1"/>
      <w:numFmt w:val="lowerRoman"/>
      <w:lvlText w:val="%6."/>
      <w:lvlJc w:val="right"/>
      <w:pPr>
        <w:ind w:left="4669" w:hanging="180"/>
      </w:pPr>
    </w:lvl>
    <w:lvl w:ilvl="6" w:tplc="AA2CFE32">
      <w:start w:val="1"/>
      <w:numFmt w:val="decimal"/>
      <w:lvlText w:val="%7."/>
      <w:lvlJc w:val="left"/>
      <w:pPr>
        <w:ind w:left="5389" w:hanging="360"/>
      </w:pPr>
    </w:lvl>
    <w:lvl w:ilvl="7" w:tplc="59D252D0">
      <w:start w:val="1"/>
      <w:numFmt w:val="lowerLetter"/>
      <w:lvlText w:val="%8."/>
      <w:lvlJc w:val="left"/>
      <w:pPr>
        <w:ind w:left="6109" w:hanging="360"/>
      </w:pPr>
    </w:lvl>
    <w:lvl w:ilvl="8" w:tplc="560C7578">
      <w:start w:val="1"/>
      <w:numFmt w:val="lowerRoman"/>
      <w:lvlText w:val="%9."/>
      <w:lvlJc w:val="right"/>
      <w:pPr>
        <w:ind w:left="6829" w:hanging="180"/>
      </w:pPr>
    </w:lvl>
  </w:abstractNum>
  <w:abstractNum w:abstractNumId="15">
    <w:nsid w:val="70040D01"/>
    <w:multiLevelType w:val="hybridMultilevel"/>
    <w:tmpl w:val="F95869E4"/>
    <w:lvl w:ilvl="0" w:tplc="0B086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7633E1"/>
    <w:multiLevelType w:val="hybridMultilevel"/>
    <w:tmpl w:val="B2DA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5"/>
  </w:num>
  <w:num w:numId="4">
    <w:abstractNumId w:val="8"/>
  </w:num>
  <w:num w:numId="5">
    <w:abstractNumId w:val="4"/>
  </w:num>
  <w:num w:numId="6">
    <w:abstractNumId w:val="11"/>
  </w:num>
  <w:num w:numId="7">
    <w:abstractNumId w:val="9"/>
  </w:num>
  <w:num w:numId="8">
    <w:abstractNumId w:val="14"/>
  </w:num>
  <w:num w:numId="9">
    <w:abstractNumId w:val="12"/>
  </w:num>
  <w:num w:numId="10">
    <w:abstractNumId w:val="15"/>
  </w:num>
  <w:num w:numId="11">
    <w:abstractNumId w:val="10"/>
  </w:num>
  <w:num w:numId="12">
    <w:abstractNumId w:val="6"/>
  </w:num>
  <w:num w:numId="13">
    <w:abstractNumId w:val="1"/>
  </w:num>
  <w:num w:numId="14">
    <w:abstractNumId w:val="7"/>
  </w:num>
  <w:num w:numId="15">
    <w:abstractNumId w:val="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A9"/>
    <w:rsid w:val="0001022F"/>
    <w:rsid w:val="00012701"/>
    <w:rsid w:val="00024780"/>
    <w:rsid w:val="00030930"/>
    <w:rsid w:val="00037372"/>
    <w:rsid w:val="0004327E"/>
    <w:rsid w:val="00047851"/>
    <w:rsid w:val="000508C1"/>
    <w:rsid w:val="00053E42"/>
    <w:rsid w:val="00062C50"/>
    <w:rsid w:val="00066518"/>
    <w:rsid w:val="0008586D"/>
    <w:rsid w:val="000861C0"/>
    <w:rsid w:val="0009109C"/>
    <w:rsid w:val="00091E53"/>
    <w:rsid w:val="0009324C"/>
    <w:rsid w:val="000A3380"/>
    <w:rsid w:val="000B343D"/>
    <w:rsid w:val="000C458E"/>
    <w:rsid w:val="000C5CDE"/>
    <w:rsid w:val="000E55AA"/>
    <w:rsid w:val="000F1309"/>
    <w:rsid w:val="001031F5"/>
    <w:rsid w:val="00122C2C"/>
    <w:rsid w:val="0012501D"/>
    <w:rsid w:val="001328AA"/>
    <w:rsid w:val="001375AA"/>
    <w:rsid w:val="001435D7"/>
    <w:rsid w:val="00151066"/>
    <w:rsid w:val="00155594"/>
    <w:rsid w:val="00162CA4"/>
    <w:rsid w:val="0016637F"/>
    <w:rsid w:val="00166DC5"/>
    <w:rsid w:val="00176440"/>
    <w:rsid w:val="001820C9"/>
    <w:rsid w:val="00183627"/>
    <w:rsid w:val="00187E45"/>
    <w:rsid w:val="00194CB3"/>
    <w:rsid w:val="001B02D1"/>
    <w:rsid w:val="001B0D07"/>
    <w:rsid w:val="001B240B"/>
    <w:rsid w:val="001B3573"/>
    <w:rsid w:val="001C0F3A"/>
    <w:rsid w:val="001C1FCE"/>
    <w:rsid w:val="001C7EBA"/>
    <w:rsid w:val="001D1634"/>
    <w:rsid w:val="001E09E7"/>
    <w:rsid w:val="001E21AE"/>
    <w:rsid w:val="001F096E"/>
    <w:rsid w:val="001F3442"/>
    <w:rsid w:val="00205A0C"/>
    <w:rsid w:val="0023223C"/>
    <w:rsid w:val="00233924"/>
    <w:rsid w:val="0023767B"/>
    <w:rsid w:val="002510C9"/>
    <w:rsid w:val="0025277E"/>
    <w:rsid w:val="00260E1E"/>
    <w:rsid w:val="002620C2"/>
    <w:rsid w:val="00271DCE"/>
    <w:rsid w:val="00282C43"/>
    <w:rsid w:val="002877FD"/>
    <w:rsid w:val="00295D40"/>
    <w:rsid w:val="002A5E09"/>
    <w:rsid w:val="002B3381"/>
    <w:rsid w:val="002C1907"/>
    <w:rsid w:val="002C513A"/>
    <w:rsid w:val="002C5262"/>
    <w:rsid w:val="002D27FE"/>
    <w:rsid w:val="002D7D1C"/>
    <w:rsid w:val="002E6B1E"/>
    <w:rsid w:val="002E758D"/>
    <w:rsid w:val="002E7AE1"/>
    <w:rsid w:val="002F28D3"/>
    <w:rsid w:val="002F2C02"/>
    <w:rsid w:val="00333F22"/>
    <w:rsid w:val="0033654B"/>
    <w:rsid w:val="003407CB"/>
    <w:rsid w:val="00341A12"/>
    <w:rsid w:val="00342B6C"/>
    <w:rsid w:val="003563D7"/>
    <w:rsid w:val="00361117"/>
    <w:rsid w:val="00366DC0"/>
    <w:rsid w:val="00372301"/>
    <w:rsid w:val="003746DC"/>
    <w:rsid w:val="00375924"/>
    <w:rsid w:val="0039526D"/>
    <w:rsid w:val="003B50CA"/>
    <w:rsid w:val="003B68EA"/>
    <w:rsid w:val="003E138B"/>
    <w:rsid w:val="003F2258"/>
    <w:rsid w:val="003F2B40"/>
    <w:rsid w:val="003F4041"/>
    <w:rsid w:val="00400C62"/>
    <w:rsid w:val="00410A9F"/>
    <w:rsid w:val="004119DE"/>
    <w:rsid w:val="0041415E"/>
    <w:rsid w:val="00431731"/>
    <w:rsid w:val="004327EE"/>
    <w:rsid w:val="00432C91"/>
    <w:rsid w:val="00433686"/>
    <w:rsid w:val="00433CFF"/>
    <w:rsid w:val="00433E0A"/>
    <w:rsid w:val="0044044A"/>
    <w:rsid w:val="00440533"/>
    <w:rsid w:val="00446583"/>
    <w:rsid w:val="004477B2"/>
    <w:rsid w:val="00454A90"/>
    <w:rsid w:val="004618B3"/>
    <w:rsid w:val="00461F31"/>
    <w:rsid w:val="00470F29"/>
    <w:rsid w:val="0047156F"/>
    <w:rsid w:val="00471A69"/>
    <w:rsid w:val="00473DFE"/>
    <w:rsid w:val="0048067F"/>
    <w:rsid w:val="00492DAC"/>
    <w:rsid w:val="004930F4"/>
    <w:rsid w:val="00493BF5"/>
    <w:rsid w:val="0049512D"/>
    <w:rsid w:val="004B14D5"/>
    <w:rsid w:val="004B5C23"/>
    <w:rsid w:val="004E6AC9"/>
    <w:rsid w:val="004E7BD2"/>
    <w:rsid w:val="004F2E7A"/>
    <w:rsid w:val="004F46E2"/>
    <w:rsid w:val="004F7AF9"/>
    <w:rsid w:val="0050136A"/>
    <w:rsid w:val="00507C20"/>
    <w:rsid w:val="005122E6"/>
    <w:rsid w:val="00513BA8"/>
    <w:rsid w:val="00520482"/>
    <w:rsid w:val="00520D8E"/>
    <w:rsid w:val="0052114C"/>
    <w:rsid w:val="00531D2E"/>
    <w:rsid w:val="00532F76"/>
    <w:rsid w:val="0053425C"/>
    <w:rsid w:val="00557EDD"/>
    <w:rsid w:val="005653E2"/>
    <w:rsid w:val="0056741F"/>
    <w:rsid w:val="0057281B"/>
    <w:rsid w:val="00576E11"/>
    <w:rsid w:val="00590C9B"/>
    <w:rsid w:val="00594641"/>
    <w:rsid w:val="005C1F8F"/>
    <w:rsid w:val="005C4F2F"/>
    <w:rsid w:val="005C6661"/>
    <w:rsid w:val="005F0D5D"/>
    <w:rsid w:val="005F0E5F"/>
    <w:rsid w:val="005F4B37"/>
    <w:rsid w:val="005F4FF5"/>
    <w:rsid w:val="005F5802"/>
    <w:rsid w:val="00605BDB"/>
    <w:rsid w:val="006155D9"/>
    <w:rsid w:val="00625D47"/>
    <w:rsid w:val="00626967"/>
    <w:rsid w:val="00640322"/>
    <w:rsid w:val="006577CD"/>
    <w:rsid w:val="00657C78"/>
    <w:rsid w:val="00663D1C"/>
    <w:rsid w:val="00665C0E"/>
    <w:rsid w:val="00684CBC"/>
    <w:rsid w:val="006873DF"/>
    <w:rsid w:val="00691C95"/>
    <w:rsid w:val="006A765C"/>
    <w:rsid w:val="006B236A"/>
    <w:rsid w:val="006B656C"/>
    <w:rsid w:val="006D78F0"/>
    <w:rsid w:val="006E1277"/>
    <w:rsid w:val="006E326E"/>
    <w:rsid w:val="006E76CD"/>
    <w:rsid w:val="00701CAE"/>
    <w:rsid w:val="00711D19"/>
    <w:rsid w:val="007150D5"/>
    <w:rsid w:val="00716699"/>
    <w:rsid w:val="00742915"/>
    <w:rsid w:val="00745E7E"/>
    <w:rsid w:val="00745F1C"/>
    <w:rsid w:val="00746FCD"/>
    <w:rsid w:val="00746FD3"/>
    <w:rsid w:val="007557EC"/>
    <w:rsid w:val="00764572"/>
    <w:rsid w:val="0076561C"/>
    <w:rsid w:val="007658B1"/>
    <w:rsid w:val="007753B9"/>
    <w:rsid w:val="00793177"/>
    <w:rsid w:val="007A6B65"/>
    <w:rsid w:val="007C7340"/>
    <w:rsid w:val="007C7B8D"/>
    <w:rsid w:val="007D403D"/>
    <w:rsid w:val="007F0FDE"/>
    <w:rsid w:val="007F2B3E"/>
    <w:rsid w:val="007F582E"/>
    <w:rsid w:val="0080008A"/>
    <w:rsid w:val="00810DEA"/>
    <w:rsid w:val="00835412"/>
    <w:rsid w:val="00836ED4"/>
    <w:rsid w:val="00847A50"/>
    <w:rsid w:val="0085706A"/>
    <w:rsid w:val="00874779"/>
    <w:rsid w:val="008879F4"/>
    <w:rsid w:val="0089153E"/>
    <w:rsid w:val="0089230E"/>
    <w:rsid w:val="00897E0D"/>
    <w:rsid w:val="00897FB0"/>
    <w:rsid w:val="008A1128"/>
    <w:rsid w:val="008A6B93"/>
    <w:rsid w:val="008B7D86"/>
    <w:rsid w:val="008C12D7"/>
    <w:rsid w:val="008C2397"/>
    <w:rsid w:val="008D3388"/>
    <w:rsid w:val="008E2796"/>
    <w:rsid w:val="008F37C3"/>
    <w:rsid w:val="008F452B"/>
    <w:rsid w:val="00903E97"/>
    <w:rsid w:val="009141DA"/>
    <w:rsid w:val="00916710"/>
    <w:rsid w:val="00917FF1"/>
    <w:rsid w:val="009240F3"/>
    <w:rsid w:val="00935DD0"/>
    <w:rsid w:val="00937AB3"/>
    <w:rsid w:val="00955536"/>
    <w:rsid w:val="00962929"/>
    <w:rsid w:val="0096546D"/>
    <w:rsid w:val="00971101"/>
    <w:rsid w:val="00984EB4"/>
    <w:rsid w:val="00985B7D"/>
    <w:rsid w:val="00992127"/>
    <w:rsid w:val="009967C7"/>
    <w:rsid w:val="00997A02"/>
    <w:rsid w:val="009A3400"/>
    <w:rsid w:val="009B087C"/>
    <w:rsid w:val="009C0590"/>
    <w:rsid w:val="009E2E10"/>
    <w:rsid w:val="009F0177"/>
    <w:rsid w:val="009F1358"/>
    <w:rsid w:val="00A010FA"/>
    <w:rsid w:val="00A012A8"/>
    <w:rsid w:val="00A01874"/>
    <w:rsid w:val="00A034EE"/>
    <w:rsid w:val="00A07890"/>
    <w:rsid w:val="00A119A7"/>
    <w:rsid w:val="00A16797"/>
    <w:rsid w:val="00A24BD6"/>
    <w:rsid w:val="00A33075"/>
    <w:rsid w:val="00A368D9"/>
    <w:rsid w:val="00A36CFC"/>
    <w:rsid w:val="00A408E1"/>
    <w:rsid w:val="00A41AF6"/>
    <w:rsid w:val="00A41D17"/>
    <w:rsid w:val="00A431D5"/>
    <w:rsid w:val="00A550C8"/>
    <w:rsid w:val="00A63E76"/>
    <w:rsid w:val="00A659F1"/>
    <w:rsid w:val="00A66234"/>
    <w:rsid w:val="00A70726"/>
    <w:rsid w:val="00A73F35"/>
    <w:rsid w:val="00A8083F"/>
    <w:rsid w:val="00A850CF"/>
    <w:rsid w:val="00A932A4"/>
    <w:rsid w:val="00A94C15"/>
    <w:rsid w:val="00AB26AD"/>
    <w:rsid w:val="00AB42AE"/>
    <w:rsid w:val="00AB49FF"/>
    <w:rsid w:val="00AC02C1"/>
    <w:rsid w:val="00AD4FEE"/>
    <w:rsid w:val="00AE0BEE"/>
    <w:rsid w:val="00AE24EE"/>
    <w:rsid w:val="00AE4E91"/>
    <w:rsid w:val="00AE64DB"/>
    <w:rsid w:val="00AE6A93"/>
    <w:rsid w:val="00AE6C75"/>
    <w:rsid w:val="00B135A8"/>
    <w:rsid w:val="00B25BCE"/>
    <w:rsid w:val="00B30632"/>
    <w:rsid w:val="00B33F36"/>
    <w:rsid w:val="00B4012F"/>
    <w:rsid w:val="00B40171"/>
    <w:rsid w:val="00B4680F"/>
    <w:rsid w:val="00B53364"/>
    <w:rsid w:val="00B557B0"/>
    <w:rsid w:val="00B64A1B"/>
    <w:rsid w:val="00B75053"/>
    <w:rsid w:val="00B86C4C"/>
    <w:rsid w:val="00B87FCD"/>
    <w:rsid w:val="00B93D84"/>
    <w:rsid w:val="00B95FD0"/>
    <w:rsid w:val="00BA1B97"/>
    <w:rsid w:val="00BA6874"/>
    <w:rsid w:val="00BB0DB1"/>
    <w:rsid w:val="00BB388C"/>
    <w:rsid w:val="00BC60BA"/>
    <w:rsid w:val="00BE2D78"/>
    <w:rsid w:val="00BF6763"/>
    <w:rsid w:val="00BF7843"/>
    <w:rsid w:val="00C202FB"/>
    <w:rsid w:val="00C27ED0"/>
    <w:rsid w:val="00C37D2E"/>
    <w:rsid w:val="00C40C75"/>
    <w:rsid w:val="00C446B9"/>
    <w:rsid w:val="00C47D0D"/>
    <w:rsid w:val="00C55C40"/>
    <w:rsid w:val="00C73EF2"/>
    <w:rsid w:val="00C74D95"/>
    <w:rsid w:val="00C95690"/>
    <w:rsid w:val="00C964C5"/>
    <w:rsid w:val="00C97053"/>
    <w:rsid w:val="00CA055A"/>
    <w:rsid w:val="00CA0619"/>
    <w:rsid w:val="00CA2DD1"/>
    <w:rsid w:val="00CA4C78"/>
    <w:rsid w:val="00CB6834"/>
    <w:rsid w:val="00CC1F81"/>
    <w:rsid w:val="00CC6A3D"/>
    <w:rsid w:val="00CD0A4F"/>
    <w:rsid w:val="00CD7798"/>
    <w:rsid w:val="00CE53EF"/>
    <w:rsid w:val="00CE5935"/>
    <w:rsid w:val="00CF18A2"/>
    <w:rsid w:val="00CF6C70"/>
    <w:rsid w:val="00D00A34"/>
    <w:rsid w:val="00D42C05"/>
    <w:rsid w:val="00D45963"/>
    <w:rsid w:val="00D53C82"/>
    <w:rsid w:val="00D73F4F"/>
    <w:rsid w:val="00D759A6"/>
    <w:rsid w:val="00D82D60"/>
    <w:rsid w:val="00D87E6D"/>
    <w:rsid w:val="00D97D7D"/>
    <w:rsid w:val="00DA09A3"/>
    <w:rsid w:val="00DA180C"/>
    <w:rsid w:val="00DA2BFD"/>
    <w:rsid w:val="00DB2B9A"/>
    <w:rsid w:val="00DB39F2"/>
    <w:rsid w:val="00DC2C58"/>
    <w:rsid w:val="00DC3B71"/>
    <w:rsid w:val="00DE0135"/>
    <w:rsid w:val="00DE267F"/>
    <w:rsid w:val="00DE74FD"/>
    <w:rsid w:val="00DF4C4F"/>
    <w:rsid w:val="00DF709F"/>
    <w:rsid w:val="00E06201"/>
    <w:rsid w:val="00E25976"/>
    <w:rsid w:val="00E43D66"/>
    <w:rsid w:val="00E45C74"/>
    <w:rsid w:val="00E534BA"/>
    <w:rsid w:val="00E61876"/>
    <w:rsid w:val="00EA2F4D"/>
    <w:rsid w:val="00EA3C6D"/>
    <w:rsid w:val="00EA53D7"/>
    <w:rsid w:val="00EB6192"/>
    <w:rsid w:val="00EC3F55"/>
    <w:rsid w:val="00EC4141"/>
    <w:rsid w:val="00ED3937"/>
    <w:rsid w:val="00ED7C51"/>
    <w:rsid w:val="00EE1287"/>
    <w:rsid w:val="00EE7DA8"/>
    <w:rsid w:val="00EF1EE6"/>
    <w:rsid w:val="00F00383"/>
    <w:rsid w:val="00F015A9"/>
    <w:rsid w:val="00F05D35"/>
    <w:rsid w:val="00F079D7"/>
    <w:rsid w:val="00F22004"/>
    <w:rsid w:val="00F30A3C"/>
    <w:rsid w:val="00F32C3E"/>
    <w:rsid w:val="00F35A74"/>
    <w:rsid w:val="00F367A5"/>
    <w:rsid w:val="00F46837"/>
    <w:rsid w:val="00F50636"/>
    <w:rsid w:val="00F52236"/>
    <w:rsid w:val="00F6502C"/>
    <w:rsid w:val="00F65FE1"/>
    <w:rsid w:val="00F678E3"/>
    <w:rsid w:val="00F743B2"/>
    <w:rsid w:val="00F823FB"/>
    <w:rsid w:val="00F90B5F"/>
    <w:rsid w:val="00F92FA2"/>
    <w:rsid w:val="00FA4A0A"/>
    <w:rsid w:val="00FA6567"/>
    <w:rsid w:val="00FB28B8"/>
    <w:rsid w:val="00FB2A01"/>
    <w:rsid w:val="00FC5F51"/>
    <w:rsid w:val="00FE1010"/>
    <w:rsid w:val="00FE57FF"/>
    <w:rsid w:val="00FF3F72"/>
    <w:rsid w:val="00FF51AD"/>
    <w:rsid w:val="00FF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aliases w:val="Абзац списка для документа"/>
    <w:basedOn w:val="a"/>
    <w:link w:val="a4"/>
    <w:uiPriority w:val="34"/>
    <w:qFormat/>
    <w:pPr>
      <w:ind w:left="720"/>
      <w:contextualSpacing/>
    </w:pPr>
  </w:style>
  <w:style w:type="paragraph" w:styleId="a5">
    <w:name w:val="No Spacing"/>
    <w:link w:val="a6"/>
    <w:uiPriority w:val="1"/>
    <w:qFormat/>
    <w:pPr>
      <w:spacing w:after="0" w:line="240" w:lineRule="auto"/>
    </w:p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Название Знак"/>
    <w:basedOn w:val="a0"/>
    <w:link w:val="a7"/>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basedOn w:val="a0"/>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7143"/>
        <w:tab w:val="right" w:pos="14287"/>
      </w:tabs>
    </w:pPr>
  </w:style>
  <w:style w:type="character" w:customStyle="1" w:styleId="FooterChar">
    <w:name w:val="Footer Char"/>
    <w:basedOn w:val="a0"/>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af0">
    <w:name w:val="Нижний колонтитул Знак"/>
    <w:link w:val="af"/>
    <w:uiPriority w:val="99"/>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Текст сноски Знак"/>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customStyle="1" w:styleId="ConsPlusNormal">
    <w:name w:val="ConsPlusNormal"/>
    <w:link w:val="ConsPlusNormal0"/>
    <w:qFormat/>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bCs/>
      <w:lang w:eastAsia="ru-RU"/>
    </w:rPr>
  </w:style>
  <w:style w:type="character" w:styleId="HTML">
    <w:name w:val="HTML Code"/>
    <w:basedOn w:val="a0"/>
    <w:uiPriority w:val="99"/>
    <w:unhideWhenUsed/>
    <w:rsid w:val="00CD0A4F"/>
    <w:rPr>
      <w:rFonts w:ascii="Courier New" w:eastAsia="Times New Roman" w:hAnsi="Courier New" w:cs="Courier New"/>
      <w:sz w:val="20"/>
      <w:szCs w:val="20"/>
    </w:rPr>
  </w:style>
  <w:style w:type="paragraph" w:styleId="afc">
    <w:name w:val="Body Text"/>
    <w:basedOn w:val="a"/>
    <w:link w:val="afd"/>
    <w:uiPriority w:val="99"/>
    <w:unhideWhenUsed/>
    <w:rsid w:val="00F22004"/>
    <w:pPr>
      <w:ind w:right="5244"/>
      <w:jc w:val="both"/>
    </w:pPr>
    <w:rPr>
      <w:sz w:val="20"/>
      <w:szCs w:val="20"/>
    </w:rPr>
  </w:style>
  <w:style w:type="character" w:customStyle="1" w:styleId="afd">
    <w:name w:val="Основной текст Знак"/>
    <w:basedOn w:val="a0"/>
    <w:link w:val="afc"/>
    <w:uiPriority w:val="99"/>
    <w:rsid w:val="00F22004"/>
    <w:rPr>
      <w:rFonts w:ascii="Times New Roman" w:eastAsia="Times New Roman" w:hAnsi="Times New Roman" w:cs="Times New Roman"/>
      <w:sz w:val="20"/>
      <w:szCs w:val="20"/>
      <w:lang w:eastAsia="ru-RU"/>
    </w:rPr>
  </w:style>
  <w:style w:type="character" w:customStyle="1" w:styleId="ConsPlusNormal0">
    <w:name w:val="ConsPlusNormal Знак"/>
    <w:link w:val="ConsPlusNormal"/>
    <w:qFormat/>
    <w:locked/>
    <w:rsid w:val="00F22004"/>
    <w:rPr>
      <w:rFonts w:ascii="Times New Roman" w:eastAsiaTheme="minorEastAsia" w:hAnsi="Times New Roman" w:cs="Times New Roman"/>
      <w:sz w:val="24"/>
      <w:szCs w:val="24"/>
      <w:lang w:eastAsia="ru-RU"/>
    </w:rPr>
  </w:style>
  <w:style w:type="character" w:customStyle="1" w:styleId="FontStyle20">
    <w:name w:val="Font Style20"/>
    <w:uiPriority w:val="99"/>
    <w:rsid w:val="00F22004"/>
    <w:rPr>
      <w:rFonts w:ascii="Times New Roman" w:hAnsi="Times New Roman" w:cs="Times New Roman" w:hint="default"/>
      <w:sz w:val="26"/>
      <w:szCs w:val="26"/>
    </w:rPr>
  </w:style>
  <w:style w:type="paragraph" w:customStyle="1" w:styleId="afe">
    <w:name w:val="Абзац списка;Абзац списка для документа"/>
    <w:uiPriority w:val="99"/>
    <w:qFormat/>
    <w:rsid w:val="009240F3"/>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4"/>
      <w:szCs w:val="24"/>
      <w:lang w:val="en-US"/>
    </w:rPr>
  </w:style>
  <w:style w:type="paragraph" w:styleId="aff">
    <w:name w:val="Normal (Web)"/>
    <w:basedOn w:val="a"/>
    <w:uiPriority w:val="99"/>
    <w:unhideWhenUsed/>
    <w:rsid w:val="009240F3"/>
    <w:pPr>
      <w:spacing w:before="100" w:beforeAutospacing="1" w:after="100" w:afterAutospacing="1"/>
    </w:pPr>
  </w:style>
  <w:style w:type="paragraph" w:customStyle="1" w:styleId="docdata">
    <w:name w:val="docdata"/>
    <w:basedOn w:val="a"/>
    <w:rsid w:val="009240F3"/>
    <w:pPr>
      <w:spacing w:before="100" w:beforeAutospacing="1" w:after="100" w:afterAutospacing="1"/>
    </w:pPr>
  </w:style>
  <w:style w:type="character" w:customStyle="1" w:styleId="a4">
    <w:name w:val="Абзац списка Знак"/>
    <w:aliases w:val="Абзац списка для документа Знак"/>
    <w:link w:val="a3"/>
    <w:uiPriority w:val="34"/>
    <w:rsid w:val="009240F3"/>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9240F3"/>
  </w:style>
  <w:style w:type="paragraph" w:customStyle="1" w:styleId="12">
    <w:name w:val="Обычный (веб)1"/>
    <w:uiPriority w:val="99"/>
    <w:unhideWhenUsed/>
    <w:rsid w:val="00FF5D7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Обычный (веб)2"/>
    <w:uiPriority w:val="99"/>
    <w:unhideWhenUsed/>
    <w:rsid w:val="00FF5D7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Оглавление 9 Знак"/>
    <w:uiPriority w:val="99"/>
    <w:unhideWhenUsed/>
    <w:rsid w:val="00A36CF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Строгий1"/>
    <w:uiPriority w:val="22"/>
    <w:qFormat/>
    <w:rsid w:val="00A932A4"/>
    <w:rPr>
      <w:b/>
      <w:bCs/>
    </w:rPr>
  </w:style>
  <w:style w:type="character" w:customStyle="1" w:styleId="fontstyle01">
    <w:name w:val="fontstyle01"/>
    <w:rsid w:val="00A932A4"/>
    <w:rPr>
      <w:rFonts w:ascii="Times New Roman" w:hAnsi="Times New Roman" w:cs="Times New Roman"/>
      <w:b/>
      <w:bCs/>
      <w:i w:val="0"/>
      <w:iCs w:val="0"/>
      <w:color w:val="000000"/>
      <w:sz w:val="28"/>
      <w:szCs w:val="28"/>
    </w:rPr>
  </w:style>
  <w:style w:type="paragraph" w:styleId="aff0">
    <w:name w:val="Plain Text"/>
    <w:basedOn w:val="a"/>
    <w:link w:val="aff1"/>
    <w:uiPriority w:val="99"/>
    <w:unhideWhenUsed/>
    <w:rsid w:val="002B3381"/>
    <w:rPr>
      <w:rFonts w:ascii="Calibri" w:eastAsia="Calibri" w:hAnsi="Calibri"/>
      <w:sz w:val="22"/>
      <w:szCs w:val="21"/>
      <w:lang w:eastAsia="en-US"/>
    </w:rPr>
  </w:style>
  <w:style w:type="character" w:customStyle="1" w:styleId="aff1">
    <w:name w:val="Текст Знак"/>
    <w:basedOn w:val="a0"/>
    <w:link w:val="aff0"/>
    <w:uiPriority w:val="99"/>
    <w:rsid w:val="002B3381"/>
    <w:rPr>
      <w:rFonts w:ascii="Calibri" w:eastAsia="Calibri" w:hAnsi="Calibri" w:cs="Times New Roman"/>
      <w:szCs w:val="21"/>
    </w:rPr>
  </w:style>
  <w:style w:type="paragraph" w:styleId="aff2">
    <w:name w:val="Body Text Indent"/>
    <w:basedOn w:val="a"/>
    <w:link w:val="aff3"/>
    <w:uiPriority w:val="99"/>
    <w:semiHidden/>
    <w:unhideWhenUsed/>
    <w:rsid w:val="000C5CDE"/>
    <w:pPr>
      <w:spacing w:after="120"/>
      <w:ind w:left="283"/>
    </w:pPr>
  </w:style>
  <w:style w:type="character" w:customStyle="1" w:styleId="aff3">
    <w:name w:val="Основной текст с отступом Знак"/>
    <w:basedOn w:val="a0"/>
    <w:link w:val="aff2"/>
    <w:uiPriority w:val="99"/>
    <w:semiHidden/>
    <w:rsid w:val="000C5CDE"/>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0C5CDE"/>
  </w:style>
  <w:style w:type="paragraph" w:customStyle="1" w:styleId="32">
    <w:name w:val="Основной текст3"/>
    <w:rsid w:val="00625D47"/>
    <w:pPr>
      <w:pBdr>
        <w:top w:val="none" w:sz="4" w:space="0" w:color="000000"/>
        <w:left w:val="none" w:sz="4" w:space="0" w:color="000000"/>
        <w:bottom w:val="none" w:sz="4" w:space="0" w:color="000000"/>
        <w:right w:val="none" w:sz="4" w:space="0" w:color="000000"/>
        <w:between w:val="none" w:sz="4" w:space="0" w:color="000000"/>
      </w:pBdr>
      <w:spacing w:after="0" w:line="240" w:lineRule="auto"/>
      <w:ind w:right="-766"/>
      <w:jc w:val="both"/>
    </w:pPr>
    <w:rPr>
      <w:rFonts w:ascii="Times New Roman" w:eastAsia="Times New Roman" w:hAnsi="Times New Roman" w:cs="Times New Roman"/>
      <w:sz w:val="28"/>
      <w:szCs w:val="20"/>
      <w:lang w:eastAsia="ru-RU"/>
    </w:rPr>
  </w:style>
  <w:style w:type="character" w:customStyle="1" w:styleId="aff4">
    <w:name w:val="Цветовое выделение"/>
    <w:uiPriority w:val="99"/>
    <w:rsid w:val="00B40171"/>
    <w:rPr>
      <w:b/>
      <w:color w:val="26282F"/>
    </w:rPr>
  </w:style>
  <w:style w:type="paragraph" w:customStyle="1" w:styleId="14">
    <w:name w:val="Основной текст1"/>
    <w:uiPriority w:val="99"/>
    <w:rsid w:val="00DE0135"/>
    <w:pPr>
      <w:tabs>
        <w:tab w:val="left" w:pos="1641"/>
      </w:tabs>
      <w:spacing w:after="0" w:line="240" w:lineRule="auto"/>
      <w:jc w:val="both"/>
    </w:pPr>
    <w:rPr>
      <w:rFonts w:ascii="Times New Roman" w:hAnsi="Times New Roman" w:cs="Times New Roman"/>
      <w:b/>
      <w:sz w:val="26"/>
      <w:szCs w:val="26"/>
    </w:rPr>
  </w:style>
  <w:style w:type="paragraph" w:customStyle="1" w:styleId="15">
    <w:name w:val="Основной текст с отступом1"/>
    <w:uiPriority w:val="99"/>
    <w:rsid w:val="00DE0135"/>
    <w:pPr>
      <w:tabs>
        <w:tab w:val="left" w:pos="1641"/>
      </w:tabs>
      <w:spacing w:after="0" w:line="240" w:lineRule="auto"/>
      <w:ind w:firstLine="709"/>
      <w:jc w:val="both"/>
    </w:pPr>
    <w:rPr>
      <w:rFonts w:ascii="Times New Roman" w:hAnsi="Times New Roman" w:cs="Times New Roman"/>
      <w:sz w:val="26"/>
      <w:szCs w:val="26"/>
    </w:rPr>
  </w:style>
  <w:style w:type="paragraph" w:customStyle="1" w:styleId="ConsPlusNonformat">
    <w:name w:val="ConsPlusNonformat"/>
    <w:rsid w:val="0052114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lang w:eastAsia="ru-RU"/>
    </w:rPr>
  </w:style>
  <w:style w:type="paragraph" w:styleId="aff5">
    <w:name w:val="Balloon Text"/>
    <w:basedOn w:val="a"/>
    <w:link w:val="aff6"/>
    <w:uiPriority w:val="99"/>
    <w:semiHidden/>
    <w:unhideWhenUsed/>
    <w:rsid w:val="000C458E"/>
    <w:rPr>
      <w:rFonts w:ascii="Tahoma" w:hAnsi="Tahoma" w:cs="Tahoma"/>
      <w:sz w:val="16"/>
      <w:szCs w:val="16"/>
    </w:rPr>
  </w:style>
  <w:style w:type="character" w:customStyle="1" w:styleId="aff6">
    <w:name w:val="Текст выноски Знак"/>
    <w:basedOn w:val="a0"/>
    <w:link w:val="aff5"/>
    <w:uiPriority w:val="99"/>
    <w:semiHidden/>
    <w:rsid w:val="000C458E"/>
    <w:rPr>
      <w:rFonts w:ascii="Tahoma" w:eastAsia="Times New Roman" w:hAnsi="Tahoma" w:cs="Tahoma"/>
      <w:sz w:val="16"/>
      <w:szCs w:val="16"/>
      <w:lang w:eastAsia="ru-RU"/>
    </w:rPr>
  </w:style>
  <w:style w:type="paragraph" w:customStyle="1" w:styleId="16">
    <w:name w:val="Без интервала1"/>
    <w:rsid w:val="007C734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aliases w:val="Абзац списка для документа"/>
    <w:basedOn w:val="a"/>
    <w:link w:val="a4"/>
    <w:uiPriority w:val="34"/>
    <w:qFormat/>
    <w:pPr>
      <w:ind w:left="720"/>
      <w:contextualSpacing/>
    </w:pPr>
  </w:style>
  <w:style w:type="paragraph" w:styleId="a5">
    <w:name w:val="No Spacing"/>
    <w:link w:val="a6"/>
    <w:uiPriority w:val="1"/>
    <w:qFormat/>
    <w:pPr>
      <w:spacing w:after="0" w:line="240" w:lineRule="auto"/>
    </w:p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Название Знак"/>
    <w:basedOn w:val="a0"/>
    <w:link w:val="a7"/>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basedOn w:val="a0"/>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7143"/>
        <w:tab w:val="right" w:pos="14287"/>
      </w:tabs>
    </w:pPr>
  </w:style>
  <w:style w:type="character" w:customStyle="1" w:styleId="FooterChar">
    <w:name w:val="Footer Char"/>
    <w:basedOn w:val="a0"/>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af0">
    <w:name w:val="Нижний колонтитул Знак"/>
    <w:link w:val="af"/>
    <w:uiPriority w:val="99"/>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Текст сноски Знак"/>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customStyle="1" w:styleId="ConsPlusNormal">
    <w:name w:val="ConsPlusNormal"/>
    <w:link w:val="ConsPlusNormal0"/>
    <w:qFormat/>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bCs/>
      <w:lang w:eastAsia="ru-RU"/>
    </w:rPr>
  </w:style>
  <w:style w:type="character" w:styleId="HTML">
    <w:name w:val="HTML Code"/>
    <w:basedOn w:val="a0"/>
    <w:uiPriority w:val="99"/>
    <w:unhideWhenUsed/>
    <w:rsid w:val="00CD0A4F"/>
    <w:rPr>
      <w:rFonts w:ascii="Courier New" w:eastAsia="Times New Roman" w:hAnsi="Courier New" w:cs="Courier New"/>
      <w:sz w:val="20"/>
      <w:szCs w:val="20"/>
    </w:rPr>
  </w:style>
  <w:style w:type="paragraph" w:styleId="afc">
    <w:name w:val="Body Text"/>
    <w:basedOn w:val="a"/>
    <w:link w:val="afd"/>
    <w:uiPriority w:val="99"/>
    <w:unhideWhenUsed/>
    <w:rsid w:val="00F22004"/>
    <w:pPr>
      <w:ind w:right="5244"/>
      <w:jc w:val="both"/>
    </w:pPr>
    <w:rPr>
      <w:sz w:val="20"/>
      <w:szCs w:val="20"/>
    </w:rPr>
  </w:style>
  <w:style w:type="character" w:customStyle="1" w:styleId="afd">
    <w:name w:val="Основной текст Знак"/>
    <w:basedOn w:val="a0"/>
    <w:link w:val="afc"/>
    <w:uiPriority w:val="99"/>
    <w:rsid w:val="00F22004"/>
    <w:rPr>
      <w:rFonts w:ascii="Times New Roman" w:eastAsia="Times New Roman" w:hAnsi="Times New Roman" w:cs="Times New Roman"/>
      <w:sz w:val="20"/>
      <w:szCs w:val="20"/>
      <w:lang w:eastAsia="ru-RU"/>
    </w:rPr>
  </w:style>
  <w:style w:type="character" w:customStyle="1" w:styleId="ConsPlusNormal0">
    <w:name w:val="ConsPlusNormal Знак"/>
    <w:link w:val="ConsPlusNormal"/>
    <w:qFormat/>
    <w:locked/>
    <w:rsid w:val="00F22004"/>
    <w:rPr>
      <w:rFonts w:ascii="Times New Roman" w:eastAsiaTheme="minorEastAsia" w:hAnsi="Times New Roman" w:cs="Times New Roman"/>
      <w:sz w:val="24"/>
      <w:szCs w:val="24"/>
      <w:lang w:eastAsia="ru-RU"/>
    </w:rPr>
  </w:style>
  <w:style w:type="character" w:customStyle="1" w:styleId="FontStyle20">
    <w:name w:val="Font Style20"/>
    <w:uiPriority w:val="99"/>
    <w:rsid w:val="00F22004"/>
    <w:rPr>
      <w:rFonts w:ascii="Times New Roman" w:hAnsi="Times New Roman" w:cs="Times New Roman" w:hint="default"/>
      <w:sz w:val="26"/>
      <w:szCs w:val="26"/>
    </w:rPr>
  </w:style>
  <w:style w:type="paragraph" w:customStyle="1" w:styleId="afe">
    <w:name w:val="Абзац списка;Абзац списка для документа"/>
    <w:uiPriority w:val="99"/>
    <w:qFormat/>
    <w:rsid w:val="009240F3"/>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4"/>
      <w:szCs w:val="24"/>
      <w:lang w:val="en-US"/>
    </w:rPr>
  </w:style>
  <w:style w:type="paragraph" w:styleId="aff">
    <w:name w:val="Normal (Web)"/>
    <w:basedOn w:val="a"/>
    <w:uiPriority w:val="99"/>
    <w:unhideWhenUsed/>
    <w:rsid w:val="009240F3"/>
    <w:pPr>
      <w:spacing w:before="100" w:beforeAutospacing="1" w:after="100" w:afterAutospacing="1"/>
    </w:pPr>
  </w:style>
  <w:style w:type="paragraph" w:customStyle="1" w:styleId="docdata">
    <w:name w:val="docdata"/>
    <w:basedOn w:val="a"/>
    <w:rsid w:val="009240F3"/>
    <w:pPr>
      <w:spacing w:before="100" w:beforeAutospacing="1" w:after="100" w:afterAutospacing="1"/>
    </w:pPr>
  </w:style>
  <w:style w:type="character" w:customStyle="1" w:styleId="a4">
    <w:name w:val="Абзац списка Знак"/>
    <w:aliases w:val="Абзац списка для документа Знак"/>
    <w:link w:val="a3"/>
    <w:uiPriority w:val="34"/>
    <w:rsid w:val="009240F3"/>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9240F3"/>
  </w:style>
  <w:style w:type="paragraph" w:customStyle="1" w:styleId="12">
    <w:name w:val="Обычный (веб)1"/>
    <w:uiPriority w:val="99"/>
    <w:unhideWhenUsed/>
    <w:rsid w:val="00FF5D7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Обычный (веб)2"/>
    <w:uiPriority w:val="99"/>
    <w:unhideWhenUsed/>
    <w:rsid w:val="00FF5D7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Оглавление 9 Знак"/>
    <w:uiPriority w:val="99"/>
    <w:unhideWhenUsed/>
    <w:rsid w:val="00A36CF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Строгий1"/>
    <w:uiPriority w:val="22"/>
    <w:qFormat/>
    <w:rsid w:val="00A932A4"/>
    <w:rPr>
      <w:b/>
      <w:bCs/>
    </w:rPr>
  </w:style>
  <w:style w:type="character" w:customStyle="1" w:styleId="fontstyle01">
    <w:name w:val="fontstyle01"/>
    <w:rsid w:val="00A932A4"/>
    <w:rPr>
      <w:rFonts w:ascii="Times New Roman" w:hAnsi="Times New Roman" w:cs="Times New Roman"/>
      <w:b/>
      <w:bCs/>
      <w:i w:val="0"/>
      <w:iCs w:val="0"/>
      <w:color w:val="000000"/>
      <w:sz w:val="28"/>
      <w:szCs w:val="28"/>
    </w:rPr>
  </w:style>
  <w:style w:type="paragraph" w:styleId="aff0">
    <w:name w:val="Plain Text"/>
    <w:basedOn w:val="a"/>
    <w:link w:val="aff1"/>
    <w:uiPriority w:val="99"/>
    <w:unhideWhenUsed/>
    <w:rsid w:val="002B3381"/>
    <w:rPr>
      <w:rFonts w:ascii="Calibri" w:eastAsia="Calibri" w:hAnsi="Calibri"/>
      <w:sz w:val="22"/>
      <w:szCs w:val="21"/>
      <w:lang w:eastAsia="en-US"/>
    </w:rPr>
  </w:style>
  <w:style w:type="character" w:customStyle="1" w:styleId="aff1">
    <w:name w:val="Текст Знак"/>
    <w:basedOn w:val="a0"/>
    <w:link w:val="aff0"/>
    <w:uiPriority w:val="99"/>
    <w:rsid w:val="002B3381"/>
    <w:rPr>
      <w:rFonts w:ascii="Calibri" w:eastAsia="Calibri" w:hAnsi="Calibri" w:cs="Times New Roman"/>
      <w:szCs w:val="21"/>
    </w:rPr>
  </w:style>
  <w:style w:type="paragraph" w:styleId="aff2">
    <w:name w:val="Body Text Indent"/>
    <w:basedOn w:val="a"/>
    <w:link w:val="aff3"/>
    <w:uiPriority w:val="99"/>
    <w:semiHidden/>
    <w:unhideWhenUsed/>
    <w:rsid w:val="000C5CDE"/>
    <w:pPr>
      <w:spacing w:after="120"/>
      <w:ind w:left="283"/>
    </w:pPr>
  </w:style>
  <w:style w:type="character" w:customStyle="1" w:styleId="aff3">
    <w:name w:val="Основной текст с отступом Знак"/>
    <w:basedOn w:val="a0"/>
    <w:link w:val="aff2"/>
    <w:uiPriority w:val="99"/>
    <w:semiHidden/>
    <w:rsid w:val="000C5CDE"/>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0C5CDE"/>
  </w:style>
  <w:style w:type="paragraph" w:customStyle="1" w:styleId="32">
    <w:name w:val="Основной текст3"/>
    <w:rsid w:val="00625D47"/>
    <w:pPr>
      <w:pBdr>
        <w:top w:val="none" w:sz="4" w:space="0" w:color="000000"/>
        <w:left w:val="none" w:sz="4" w:space="0" w:color="000000"/>
        <w:bottom w:val="none" w:sz="4" w:space="0" w:color="000000"/>
        <w:right w:val="none" w:sz="4" w:space="0" w:color="000000"/>
        <w:between w:val="none" w:sz="4" w:space="0" w:color="000000"/>
      </w:pBdr>
      <w:spacing w:after="0" w:line="240" w:lineRule="auto"/>
      <w:ind w:right="-766"/>
      <w:jc w:val="both"/>
    </w:pPr>
    <w:rPr>
      <w:rFonts w:ascii="Times New Roman" w:eastAsia="Times New Roman" w:hAnsi="Times New Roman" w:cs="Times New Roman"/>
      <w:sz w:val="28"/>
      <w:szCs w:val="20"/>
      <w:lang w:eastAsia="ru-RU"/>
    </w:rPr>
  </w:style>
  <w:style w:type="character" w:customStyle="1" w:styleId="aff4">
    <w:name w:val="Цветовое выделение"/>
    <w:uiPriority w:val="99"/>
    <w:rsid w:val="00B40171"/>
    <w:rPr>
      <w:b/>
      <w:color w:val="26282F"/>
    </w:rPr>
  </w:style>
  <w:style w:type="paragraph" w:customStyle="1" w:styleId="14">
    <w:name w:val="Основной текст1"/>
    <w:uiPriority w:val="99"/>
    <w:rsid w:val="00DE0135"/>
    <w:pPr>
      <w:tabs>
        <w:tab w:val="left" w:pos="1641"/>
      </w:tabs>
      <w:spacing w:after="0" w:line="240" w:lineRule="auto"/>
      <w:jc w:val="both"/>
    </w:pPr>
    <w:rPr>
      <w:rFonts w:ascii="Times New Roman" w:hAnsi="Times New Roman" w:cs="Times New Roman"/>
      <w:b/>
      <w:sz w:val="26"/>
      <w:szCs w:val="26"/>
    </w:rPr>
  </w:style>
  <w:style w:type="paragraph" w:customStyle="1" w:styleId="15">
    <w:name w:val="Основной текст с отступом1"/>
    <w:uiPriority w:val="99"/>
    <w:rsid w:val="00DE0135"/>
    <w:pPr>
      <w:tabs>
        <w:tab w:val="left" w:pos="1641"/>
      </w:tabs>
      <w:spacing w:after="0" w:line="240" w:lineRule="auto"/>
      <w:ind w:firstLine="709"/>
      <w:jc w:val="both"/>
    </w:pPr>
    <w:rPr>
      <w:rFonts w:ascii="Times New Roman" w:hAnsi="Times New Roman" w:cs="Times New Roman"/>
      <w:sz w:val="26"/>
      <w:szCs w:val="26"/>
    </w:rPr>
  </w:style>
  <w:style w:type="paragraph" w:customStyle="1" w:styleId="ConsPlusNonformat">
    <w:name w:val="ConsPlusNonformat"/>
    <w:rsid w:val="0052114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lang w:eastAsia="ru-RU"/>
    </w:rPr>
  </w:style>
  <w:style w:type="paragraph" w:styleId="aff5">
    <w:name w:val="Balloon Text"/>
    <w:basedOn w:val="a"/>
    <w:link w:val="aff6"/>
    <w:uiPriority w:val="99"/>
    <w:semiHidden/>
    <w:unhideWhenUsed/>
    <w:rsid w:val="000C458E"/>
    <w:rPr>
      <w:rFonts w:ascii="Tahoma" w:hAnsi="Tahoma" w:cs="Tahoma"/>
      <w:sz w:val="16"/>
      <w:szCs w:val="16"/>
    </w:rPr>
  </w:style>
  <w:style w:type="character" w:customStyle="1" w:styleId="aff6">
    <w:name w:val="Текст выноски Знак"/>
    <w:basedOn w:val="a0"/>
    <w:link w:val="aff5"/>
    <w:uiPriority w:val="99"/>
    <w:semiHidden/>
    <w:rsid w:val="000C458E"/>
    <w:rPr>
      <w:rFonts w:ascii="Tahoma" w:eastAsia="Times New Roman" w:hAnsi="Tahoma" w:cs="Tahoma"/>
      <w:sz w:val="16"/>
      <w:szCs w:val="16"/>
      <w:lang w:eastAsia="ru-RU"/>
    </w:rPr>
  </w:style>
  <w:style w:type="paragraph" w:customStyle="1" w:styleId="16">
    <w:name w:val="Без интервала1"/>
    <w:rsid w:val="007C734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5623">
      <w:bodyDiv w:val="1"/>
      <w:marLeft w:val="0"/>
      <w:marRight w:val="0"/>
      <w:marTop w:val="0"/>
      <w:marBottom w:val="0"/>
      <w:divBdr>
        <w:top w:val="none" w:sz="0" w:space="0" w:color="auto"/>
        <w:left w:val="none" w:sz="0" w:space="0" w:color="auto"/>
        <w:bottom w:val="none" w:sz="0" w:space="0" w:color="auto"/>
        <w:right w:val="none" w:sz="0" w:space="0" w:color="auto"/>
      </w:divBdr>
    </w:div>
    <w:div w:id="619266198">
      <w:bodyDiv w:val="1"/>
      <w:marLeft w:val="0"/>
      <w:marRight w:val="0"/>
      <w:marTop w:val="0"/>
      <w:marBottom w:val="0"/>
      <w:divBdr>
        <w:top w:val="none" w:sz="0" w:space="0" w:color="auto"/>
        <w:left w:val="none" w:sz="0" w:space="0" w:color="auto"/>
        <w:bottom w:val="none" w:sz="0" w:space="0" w:color="auto"/>
        <w:right w:val="none" w:sz="0" w:space="0" w:color="auto"/>
      </w:divBdr>
    </w:div>
    <w:div w:id="964694369">
      <w:bodyDiv w:val="1"/>
      <w:marLeft w:val="0"/>
      <w:marRight w:val="0"/>
      <w:marTop w:val="0"/>
      <w:marBottom w:val="0"/>
      <w:divBdr>
        <w:top w:val="none" w:sz="0" w:space="0" w:color="auto"/>
        <w:left w:val="none" w:sz="0" w:space="0" w:color="auto"/>
        <w:bottom w:val="none" w:sz="0" w:space="0" w:color="auto"/>
        <w:right w:val="none" w:sz="0" w:space="0" w:color="auto"/>
      </w:divBdr>
    </w:div>
    <w:div w:id="1289584440">
      <w:bodyDiv w:val="1"/>
      <w:marLeft w:val="0"/>
      <w:marRight w:val="0"/>
      <w:marTop w:val="0"/>
      <w:marBottom w:val="0"/>
      <w:divBdr>
        <w:top w:val="none" w:sz="0" w:space="0" w:color="auto"/>
        <w:left w:val="none" w:sz="0" w:space="0" w:color="auto"/>
        <w:bottom w:val="none" w:sz="0" w:space="0" w:color="auto"/>
        <w:right w:val="none" w:sz="0" w:space="0" w:color="auto"/>
      </w:divBdr>
    </w:div>
    <w:div w:id="1358893228">
      <w:bodyDiv w:val="1"/>
      <w:marLeft w:val="0"/>
      <w:marRight w:val="0"/>
      <w:marTop w:val="0"/>
      <w:marBottom w:val="0"/>
      <w:divBdr>
        <w:top w:val="none" w:sz="0" w:space="0" w:color="auto"/>
        <w:left w:val="none" w:sz="0" w:space="0" w:color="auto"/>
        <w:bottom w:val="none" w:sz="0" w:space="0" w:color="auto"/>
        <w:right w:val="none" w:sz="0" w:space="0" w:color="auto"/>
      </w:divBdr>
    </w:div>
    <w:div w:id="1453939159">
      <w:bodyDiv w:val="1"/>
      <w:marLeft w:val="0"/>
      <w:marRight w:val="0"/>
      <w:marTop w:val="0"/>
      <w:marBottom w:val="0"/>
      <w:divBdr>
        <w:top w:val="none" w:sz="0" w:space="0" w:color="auto"/>
        <w:left w:val="none" w:sz="0" w:space="0" w:color="auto"/>
        <w:bottom w:val="none" w:sz="0" w:space="0" w:color="auto"/>
        <w:right w:val="none" w:sz="0" w:space="0" w:color="auto"/>
      </w:divBdr>
    </w:div>
    <w:div w:id="1462335217">
      <w:bodyDiv w:val="1"/>
      <w:marLeft w:val="0"/>
      <w:marRight w:val="0"/>
      <w:marTop w:val="0"/>
      <w:marBottom w:val="0"/>
      <w:divBdr>
        <w:top w:val="none" w:sz="0" w:space="0" w:color="auto"/>
        <w:left w:val="none" w:sz="0" w:space="0" w:color="auto"/>
        <w:bottom w:val="none" w:sz="0" w:space="0" w:color="auto"/>
        <w:right w:val="none" w:sz="0" w:space="0" w:color="auto"/>
      </w:divBdr>
    </w:div>
    <w:div w:id="1483473016">
      <w:bodyDiv w:val="1"/>
      <w:marLeft w:val="0"/>
      <w:marRight w:val="0"/>
      <w:marTop w:val="0"/>
      <w:marBottom w:val="0"/>
      <w:divBdr>
        <w:top w:val="none" w:sz="0" w:space="0" w:color="auto"/>
        <w:left w:val="none" w:sz="0" w:space="0" w:color="auto"/>
        <w:bottom w:val="none" w:sz="0" w:space="0" w:color="auto"/>
        <w:right w:val="none" w:sz="0" w:space="0" w:color="auto"/>
      </w:divBdr>
    </w:div>
    <w:div w:id="1703826196">
      <w:bodyDiv w:val="1"/>
      <w:marLeft w:val="0"/>
      <w:marRight w:val="0"/>
      <w:marTop w:val="0"/>
      <w:marBottom w:val="0"/>
      <w:divBdr>
        <w:top w:val="none" w:sz="0" w:space="0" w:color="auto"/>
        <w:left w:val="none" w:sz="0" w:space="0" w:color="auto"/>
        <w:bottom w:val="none" w:sz="0" w:space="0" w:color="auto"/>
        <w:right w:val="none" w:sz="0" w:space="0" w:color="auto"/>
      </w:divBdr>
    </w:div>
    <w:div w:id="1732844012">
      <w:bodyDiv w:val="1"/>
      <w:marLeft w:val="0"/>
      <w:marRight w:val="0"/>
      <w:marTop w:val="0"/>
      <w:marBottom w:val="0"/>
      <w:divBdr>
        <w:top w:val="none" w:sz="0" w:space="0" w:color="auto"/>
        <w:left w:val="none" w:sz="0" w:space="0" w:color="auto"/>
        <w:bottom w:val="none" w:sz="0" w:space="0" w:color="auto"/>
        <w:right w:val="none" w:sz="0" w:space="0" w:color="auto"/>
      </w:divBdr>
    </w:div>
    <w:div w:id="1733963084">
      <w:bodyDiv w:val="1"/>
      <w:marLeft w:val="0"/>
      <w:marRight w:val="0"/>
      <w:marTop w:val="0"/>
      <w:marBottom w:val="0"/>
      <w:divBdr>
        <w:top w:val="none" w:sz="0" w:space="0" w:color="auto"/>
        <w:left w:val="none" w:sz="0" w:space="0" w:color="auto"/>
        <w:bottom w:val="none" w:sz="0" w:space="0" w:color="auto"/>
        <w:right w:val="none" w:sz="0" w:space="0" w:color="auto"/>
      </w:divBdr>
    </w:div>
    <w:div w:id="17762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5857</Words>
  <Characters>33391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Мовчан Елена Александровна</dc:creator>
  <cp:lastModifiedBy>Надежда Тарасова</cp:lastModifiedBy>
  <cp:revision>7</cp:revision>
  <cp:lastPrinted>2025-02-26T06:57:00Z</cp:lastPrinted>
  <dcterms:created xsi:type="dcterms:W3CDTF">2025-04-02T07:46:00Z</dcterms:created>
  <dcterms:modified xsi:type="dcterms:W3CDTF">2025-04-02T07:52:00Z</dcterms:modified>
</cp:coreProperties>
</file>