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686"/>
        <w:gridCol w:w="2126"/>
        <w:gridCol w:w="4111"/>
      </w:tblGrid>
      <w:tr w:rsidR="003A3AE6" w14:paraId="7467D14C" w14:textId="77777777" w:rsidTr="00103063">
        <w:tc>
          <w:tcPr>
            <w:tcW w:w="3686" w:type="dxa"/>
          </w:tcPr>
          <w:p w14:paraId="338C62C9" w14:textId="77777777" w:rsidR="003A3AE6" w:rsidRPr="00B71338" w:rsidRDefault="003A3AE6" w:rsidP="0010306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</w:p>
          <w:p w14:paraId="2BB68D04" w14:textId="77777777" w:rsidR="003A3AE6" w:rsidRDefault="003A3AE6" w:rsidP="0010306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14:paraId="154C9DAF" w14:textId="77777777" w:rsidR="003A3AE6" w:rsidRPr="00B71338" w:rsidRDefault="003A3AE6" w:rsidP="0010306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14:paraId="374A0423" w14:textId="77777777" w:rsidR="003A3AE6" w:rsidRDefault="003A3AE6" w:rsidP="0010306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1F605C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АДМИНИСТРАЦИЙĔ</w:t>
            </w:r>
          </w:p>
          <w:p w14:paraId="2D8D8A15" w14:textId="77777777" w:rsidR="003A3AE6" w:rsidRDefault="003A3AE6" w:rsidP="0010306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29F71987" w14:textId="77777777" w:rsidR="003A3AE6" w:rsidRDefault="003A3AE6" w:rsidP="0010306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C4DF6"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14:paraId="079B17FA" w14:textId="77777777" w:rsidR="003A3AE6" w:rsidRDefault="003A3AE6" w:rsidP="00103063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63F393AE" w14:textId="77777777" w:rsidR="003A3AE6" w:rsidRDefault="003A3AE6" w:rsidP="00103063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</w:t>
            </w:r>
            <w:r w:rsidRPr="003663D1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</w:t>
            </w:r>
            <w:r w:rsidRPr="003663D1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 _</w:t>
            </w:r>
            <w:r w:rsidRPr="003663D1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___№ </w:t>
            </w:r>
          </w:p>
          <w:p w14:paraId="12756D74" w14:textId="77777777" w:rsidR="003A3AE6" w:rsidRPr="00543973" w:rsidRDefault="003A3AE6" w:rsidP="00103063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14:paraId="3DF4BC8E" w14:textId="77777777" w:rsidR="003A3AE6" w:rsidRDefault="003A3AE6" w:rsidP="0010306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</w:tcPr>
          <w:p w14:paraId="70F25D03" w14:textId="3D7FF2C4" w:rsidR="003A3AE6" w:rsidRDefault="003A3AE6" w:rsidP="00103063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573DE767" wp14:editId="5043361E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CE73C98" w14:textId="77777777" w:rsidR="003A3AE6" w:rsidRDefault="003A3AE6" w:rsidP="00103063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4111" w:type="dxa"/>
          </w:tcPr>
          <w:p w14:paraId="6E0C5A79" w14:textId="77777777" w:rsidR="003A3AE6" w:rsidRPr="00B71338" w:rsidRDefault="003A3AE6" w:rsidP="0010306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14:paraId="6AF7CA31" w14:textId="77777777" w:rsidR="003A3AE6" w:rsidRPr="00B71338" w:rsidRDefault="003A3AE6" w:rsidP="0010306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 xml:space="preserve"> КАНАШ</w:t>
            </w:r>
            <w:r>
              <w:rPr>
                <w:rFonts w:ascii="Times New Roman" w:eastAsia="Calibri" w:hAnsi="Times New Roman"/>
                <w:b/>
                <w:lang w:eastAsia="en-US"/>
              </w:rPr>
              <w:t>СКОГО МУНИЦИПАЛЬНОГО ОКРУГА</w:t>
            </w:r>
          </w:p>
          <w:p w14:paraId="3F14ABEB" w14:textId="77777777" w:rsidR="003A3AE6" w:rsidRDefault="003A3AE6" w:rsidP="0010306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14:paraId="1714226D" w14:textId="77777777" w:rsidR="003A3AE6" w:rsidRDefault="003A3AE6" w:rsidP="0010306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7A797115" w14:textId="77777777" w:rsidR="003A3AE6" w:rsidRDefault="003A3AE6" w:rsidP="0010306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14:paraId="1FF42964" w14:textId="77777777" w:rsidR="003A3AE6" w:rsidRDefault="003A3AE6" w:rsidP="0010306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74E4B76B" w14:textId="77777777" w:rsidR="003A3AE6" w:rsidRDefault="003A3AE6" w:rsidP="00103063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</w:t>
            </w:r>
            <w:r w:rsidRPr="00820652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</w:t>
            </w:r>
            <w:r>
              <w:rPr>
                <w:rFonts w:ascii="Times New Roman" w:eastAsia="Calibri" w:hAnsi="Times New Roman"/>
                <w:b/>
                <w:bCs/>
                <w:szCs w:val="24"/>
                <w:lang w:val="en-US"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</w:t>
            </w:r>
            <w:r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 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______</w:t>
            </w:r>
            <w:r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</w:p>
          <w:p w14:paraId="055D78C3" w14:textId="77777777" w:rsidR="003A3AE6" w:rsidRPr="00543973" w:rsidRDefault="003A3AE6" w:rsidP="00103063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14:paraId="6DEE921A" w14:textId="77777777" w:rsidR="003A3AE6" w:rsidRDefault="003A3AE6" w:rsidP="0010306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  <w:tr w:rsidR="003A3AE6" w:rsidRPr="00E7273A" w14:paraId="4AC51113" w14:textId="77777777" w:rsidTr="00103063">
        <w:tblPrEx>
          <w:tblLook w:val="01E0" w:firstRow="1" w:lastRow="1" w:firstColumn="1" w:lastColumn="1" w:noHBand="0" w:noVBand="0"/>
        </w:tblPrEx>
        <w:tc>
          <w:tcPr>
            <w:tcW w:w="3686" w:type="dxa"/>
          </w:tcPr>
          <w:p w14:paraId="4DD55981" w14:textId="77777777" w:rsidR="003A3AE6" w:rsidRPr="000E5900" w:rsidRDefault="003A3AE6" w:rsidP="00103063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26" w:type="dxa"/>
          </w:tcPr>
          <w:p w14:paraId="0CD77E50" w14:textId="77777777" w:rsidR="003A3AE6" w:rsidRPr="00E7273A" w:rsidRDefault="003A3AE6" w:rsidP="00103063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</w:tc>
        <w:tc>
          <w:tcPr>
            <w:tcW w:w="4111" w:type="dxa"/>
          </w:tcPr>
          <w:p w14:paraId="42156B60" w14:textId="77777777" w:rsidR="003A3AE6" w:rsidRPr="00E7273A" w:rsidRDefault="003A3AE6" w:rsidP="00103063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14:paraId="052CDF85" w14:textId="77777777" w:rsidR="003A3AE6" w:rsidRPr="00E7273A" w:rsidRDefault="003A3AE6" w:rsidP="003A3AE6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8"/>
      </w:tblGrid>
      <w:tr w:rsidR="003A3AE6" w:rsidRPr="00A1544F" w14:paraId="57770169" w14:textId="77777777" w:rsidTr="00103063">
        <w:trPr>
          <w:trHeight w:val="822"/>
        </w:trPr>
        <w:tc>
          <w:tcPr>
            <w:tcW w:w="4608" w:type="dxa"/>
            <w:hideMark/>
          </w:tcPr>
          <w:p w14:paraId="1427D730" w14:textId="3C1FD72C" w:rsidR="003A3AE6" w:rsidRPr="00B930D4" w:rsidRDefault="000569AE" w:rsidP="00103063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569A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 утверждении Методики оценки эффективности налоговых расходов Канашского муниципального округа Чувашской Республики, куратором которых является администрация Канашского муниципального округа Чувашской Республики </w:t>
            </w:r>
          </w:p>
        </w:tc>
      </w:tr>
    </w:tbl>
    <w:p w14:paraId="49137378" w14:textId="54F34FBA" w:rsidR="001645F8" w:rsidRDefault="001645F8"/>
    <w:p w14:paraId="154682AA" w14:textId="4D0F8368" w:rsidR="005B60A9" w:rsidRDefault="005B60A9"/>
    <w:p w14:paraId="06514946" w14:textId="2F5164E3" w:rsidR="005B60A9" w:rsidRPr="009F4236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bCs/>
          <w:szCs w:val="24"/>
        </w:rPr>
      </w:pPr>
      <w:r w:rsidRPr="005B60A9">
        <w:rPr>
          <w:rFonts w:ascii="Times New Roman CYR" w:hAnsi="Times New Roman CYR" w:cs="Times New Roman CYR"/>
          <w:szCs w:val="24"/>
        </w:rPr>
        <w:t xml:space="preserve">В соответствии с </w:t>
      </w:r>
      <w:r>
        <w:rPr>
          <w:rFonts w:ascii="Times New Roman CYR" w:hAnsi="Times New Roman CYR" w:cs="Times New Roman CYR"/>
          <w:szCs w:val="24"/>
        </w:rPr>
        <w:t>постановлением</w:t>
      </w:r>
      <w:r w:rsidRPr="005B60A9">
        <w:rPr>
          <w:rFonts w:ascii="Times New Roman CYR" w:hAnsi="Times New Roman CYR" w:cs="Times New Roman CYR"/>
          <w:szCs w:val="24"/>
        </w:rPr>
        <w:t xml:space="preserve"> администрации </w:t>
      </w:r>
      <w:r>
        <w:rPr>
          <w:rFonts w:ascii="Times New Roman CYR" w:hAnsi="Times New Roman CYR" w:cs="Times New Roman CYR"/>
          <w:szCs w:val="24"/>
        </w:rPr>
        <w:t>Канашского муниципального округа</w:t>
      </w:r>
      <w:r w:rsidRPr="005B60A9">
        <w:rPr>
          <w:rFonts w:ascii="Times New Roman CYR" w:hAnsi="Times New Roman CYR" w:cs="Times New Roman CYR"/>
          <w:szCs w:val="24"/>
        </w:rPr>
        <w:t xml:space="preserve"> Чувашской Республики от </w:t>
      </w:r>
      <w:r w:rsidR="006C3DAA" w:rsidRPr="006C3DAA">
        <w:rPr>
          <w:rFonts w:ascii="Times New Roman CYR" w:hAnsi="Times New Roman CYR" w:cs="Times New Roman CYR"/>
          <w:color w:val="FF0000"/>
          <w:szCs w:val="24"/>
        </w:rPr>
        <w:t>__________</w:t>
      </w:r>
      <w:r w:rsidRPr="005B60A9">
        <w:rPr>
          <w:rFonts w:ascii="Times New Roman CYR" w:hAnsi="Times New Roman CYR" w:cs="Times New Roman CYR"/>
          <w:color w:val="FF0000"/>
          <w:szCs w:val="24"/>
        </w:rPr>
        <w:t xml:space="preserve"> </w:t>
      </w:r>
      <w:r w:rsidR="009F4236">
        <w:rPr>
          <w:rFonts w:ascii="Times New Roman CYR" w:hAnsi="Times New Roman CYR" w:cs="Times New Roman CYR"/>
          <w:color w:val="FF0000"/>
          <w:szCs w:val="24"/>
        </w:rPr>
        <w:t>№</w:t>
      </w:r>
      <w:r w:rsidRPr="005B60A9">
        <w:rPr>
          <w:rFonts w:ascii="Times New Roman CYR" w:hAnsi="Times New Roman CYR" w:cs="Times New Roman CYR"/>
          <w:color w:val="FF0000"/>
          <w:szCs w:val="24"/>
        </w:rPr>
        <w:t> </w:t>
      </w:r>
      <w:r w:rsidR="006C3DAA" w:rsidRPr="006C3DAA">
        <w:rPr>
          <w:rFonts w:ascii="Times New Roman CYR" w:hAnsi="Times New Roman CYR" w:cs="Times New Roman CYR"/>
          <w:color w:val="FF0000"/>
          <w:szCs w:val="24"/>
        </w:rPr>
        <w:t>___</w:t>
      </w:r>
      <w:r w:rsidRPr="005B60A9">
        <w:rPr>
          <w:rFonts w:ascii="Times New Roman CYR" w:hAnsi="Times New Roman CYR" w:cs="Times New Roman CYR"/>
          <w:color w:val="FF0000"/>
          <w:szCs w:val="24"/>
        </w:rPr>
        <w:t xml:space="preserve"> </w:t>
      </w:r>
      <w:r w:rsidR="009F4236" w:rsidRPr="009F4236">
        <w:rPr>
          <w:rFonts w:ascii="Times New Roman CYR" w:hAnsi="Times New Roman CYR" w:cs="Times New Roman CYR"/>
          <w:szCs w:val="24"/>
        </w:rPr>
        <w:t>«</w:t>
      </w:r>
      <w:r w:rsidRPr="005B60A9">
        <w:rPr>
          <w:rFonts w:ascii="Times New Roman CYR" w:hAnsi="Times New Roman CYR" w:cs="Times New Roman CYR"/>
          <w:szCs w:val="24"/>
        </w:rPr>
        <w:t xml:space="preserve">Об утверждении порядка оценки налоговых расходов </w:t>
      </w:r>
      <w:r>
        <w:rPr>
          <w:rFonts w:ascii="Times New Roman CYR" w:hAnsi="Times New Roman CYR" w:cs="Times New Roman CYR"/>
          <w:szCs w:val="24"/>
        </w:rPr>
        <w:t>Канашского муниципального округа</w:t>
      </w:r>
      <w:r w:rsidRPr="005B60A9">
        <w:rPr>
          <w:rFonts w:ascii="Times New Roman CYR" w:hAnsi="Times New Roman CYR" w:cs="Times New Roman CYR"/>
          <w:szCs w:val="24"/>
        </w:rPr>
        <w:t xml:space="preserve"> Чувашской Республики</w:t>
      </w:r>
      <w:r w:rsidR="009F4236">
        <w:rPr>
          <w:rFonts w:ascii="Times New Roman CYR" w:hAnsi="Times New Roman CYR" w:cs="Times New Roman CYR"/>
          <w:szCs w:val="24"/>
        </w:rPr>
        <w:t>»</w:t>
      </w:r>
      <w:r w:rsidRPr="005B60A9">
        <w:rPr>
          <w:rFonts w:ascii="Times New Roman CYR" w:hAnsi="Times New Roman CYR" w:cs="Times New Roman CYR"/>
          <w:szCs w:val="24"/>
        </w:rPr>
        <w:t xml:space="preserve">, </w:t>
      </w:r>
      <w:r w:rsidRPr="009F4236">
        <w:rPr>
          <w:rFonts w:ascii="Times New Roman CYR" w:hAnsi="Times New Roman CYR" w:cs="Times New Roman CYR"/>
          <w:b/>
          <w:bCs/>
          <w:szCs w:val="24"/>
        </w:rPr>
        <w:t>Администрация Канашского муниципального округа Чувашской Республики постановляет:</w:t>
      </w:r>
    </w:p>
    <w:p w14:paraId="660FE250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4"/>
        </w:rPr>
      </w:pPr>
    </w:p>
    <w:p w14:paraId="7774A56B" w14:textId="37617B75" w:rsidR="005B60A9" w:rsidRPr="009F4236" w:rsidRDefault="005B60A9" w:rsidP="009F4236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 CYR" w:hAnsi="Times New Roman CYR" w:cs="Times New Roman CYR"/>
          <w:szCs w:val="24"/>
        </w:rPr>
      </w:pPr>
      <w:bookmarkStart w:id="0" w:name="sub_1"/>
      <w:r w:rsidRPr="009F4236">
        <w:rPr>
          <w:rFonts w:ascii="Times New Roman CYR" w:hAnsi="Times New Roman CYR" w:cs="Times New Roman CYR"/>
          <w:szCs w:val="24"/>
        </w:rPr>
        <w:t>Утвердить прилагаемую Методику оценки эффективности налоговых расходов Канашского муниципального округа Чувашской Республики, куратором которых является администрация Канашского муниципального округа Чувашской Республики</w:t>
      </w:r>
      <w:r w:rsidR="009F4236">
        <w:rPr>
          <w:rFonts w:ascii="Times New Roman CYR" w:hAnsi="Times New Roman CYR" w:cs="Times New Roman CYR"/>
          <w:szCs w:val="24"/>
        </w:rPr>
        <w:t>.</w:t>
      </w:r>
    </w:p>
    <w:p w14:paraId="4C1BFCA9" w14:textId="75E4C604" w:rsidR="00EE3081" w:rsidRDefault="00EE3081" w:rsidP="00EE308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Cs w:val="24"/>
        </w:rPr>
      </w:pPr>
      <w:r>
        <w:rPr>
          <w:rFonts w:ascii="Times New Roman CYR" w:hAnsi="Times New Roman CYR" w:cs="Times New Roman CYR"/>
          <w:szCs w:val="24"/>
        </w:rPr>
        <w:t>Признать утратившим</w:t>
      </w:r>
      <w:r w:rsidR="009F4236">
        <w:rPr>
          <w:rFonts w:ascii="Times New Roman CYR" w:hAnsi="Times New Roman CYR" w:cs="Times New Roman CYR"/>
          <w:szCs w:val="24"/>
        </w:rPr>
        <w:t>и</w:t>
      </w:r>
      <w:r>
        <w:rPr>
          <w:rFonts w:ascii="Times New Roman CYR" w:hAnsi="Times New Roman CYR" w:cs="Times New Roman CYR"/>
          <w:szCs w:val="24"/>
        </w:rPr>
        <w:t xml:space="preserve"> силу:</w:t>
      </w:r>
    </w:p>
    <w:p w14:paraId="73FABA97" w14:textId="15393BDC" w:rsidR="00EE3081" w:rsidRPr="00AD3E16" w:rsidRDefault="00EE3081" w:rsidP="00CA2346">
      <w:pPr>
        <w:pStyle w:val="a4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 CYR" w:hAnsi="Times New Roman CYR" w:cs="Times New Roman CYR"/>
          <w:szCs w:val="24"/>
        </w:rPr>
      </w:pPr>
      <w:r>
        <w:rPr>
          <w:rFonts w:ascii="Times New Roman CYR" w:hAnsi="Times New Roman CYR" w:cs="Times New Roman CYR"/>
          <w:szCs w:val="24"/>
        </w:rPr>
        <w:t xml:space="preserve">- постановление администрации города Канаш от </w:t>
      </w:r>
      <w:r w:rsidR="00CA2346">
        <w:rPr>
          <w:rFonts w:ascii="Times New Roman CYR" w:hAnsi="Times New Roman CYR" w:cs="Times New Roman CYR"/>
          <w:szCs w:val="24"/>
        </w:rPr>
        <w:t>30 апреля 2020</w:t>
      </w:r>
      <w:r w:rsidR="009F4236">
        <w:rPr>
          <w:rFonts w:ascii="Times New Roman CYR" w:hAnsi="Times New Roman CYR" w:cs="Times New Roman CYR"/>
          <w:szCs w:val="24"/>
        </w:rPr>
        <w:t xml:space="preserve"> </w:t>
      </w:r>
      <w:r w:rsidR="00CA2346">
        <w:rPr>
          <w:rFonts w:ascii="Times New Roman CYR" w:hAnsi="Times New Roman CYR" w:cs="Times New Roman CYR"/>
          <w:szCs w:val="24"/>
        </w:rPr>
        <w:t>г. №</w:t>
      </w:r>
      <w:r w:rsidR="009F4236">
        <w:rPr>
          <w:rFonts w:ascii="Times New Roman CYR" w:hAnsi="Times New Roman CYR" w:cs="Times New Roman CYR"/>
          <w:szCs w:val="24"/>
        </w:rPr>
        <w:t xml:space="preserve"> </w:t>
      </w:r>
      <w:r w:rsidR="00CA2346">
        <w:rPr>
          <w:rFonts w:ascii="Times New Roman CYR" w:hAnsi="Times New Roman CYR" w:cs="Times New Roman CYR"/>
          <w:szCs w:val="24"/>
        </w:rPr>
        <w:t>342 «</w:t>
      </w:r>
      <w:r w:rsidR="00CA2346" w:rsidRPr="00CA2346">
        <w:rPr>
          <w:rFonts w:ascii="Times New Roman CYR" w:hAnsi="Times New Roman CYR" w:cs="Times New Roman CYR"/>
          <w:szCs w:val="24"/>
        </w:rPr>
        <w:t xml:space="preserve">Об утверждении Методики оценки эффективности налоговых расходов города Канаш Чувашской Республики, куратором которых является администрация города Канаш </w:t>
      </w:r>
      <w:r w:rsidR="00CA2346" w:rsidRPr="00AD3E16">
        <w:rPr>
          <w:rFonts w:ascii="Times New Roman CYR" w:hAnsi="Times New Roman CYR" w:cs="Times New Roman CYR"/>
          <w:szCs w:val="24"/>
        </w:rPr>
        <w:t>Чувашской Республики»;</w:t>
      </w:r>
    </w:p>
    <w:p w14:paraId="73C695CC" w14:textId="3484AAD8" w:rsidR="004467DB" w:rsidRPr="00AD3E16" w:rsidRDefault="004467DB" w:rsidP="00CA2346">
      <w:pPr>
        <w:pStyle w:val="a4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 CYR" w:hAnsi="Times New Roman CYR" w:cs="Times New Roman CYR"/>
          <w:szCs w:val="24"/>
        </w:rPr>
      </w:pPr>
      <w:r w:rsidRPr="00AD3E16">
        <w:rPr>
          <w:rFonts w:ascii="Times New Roman CYR" w:hAnsi="Times New Roman CYR" w:cs="Times New Roman CYR"/>
          <w:szCs w:val="24"/>
        </w:rPr>
        <w:t>- постановление администрации города Канаш от 29 июля 2022</w:t>
      </w:r>
      <w:r w:rsidR="009F4236">
        <w:rPr>
          <w:rFonts w:ascii="Times New Roman CYR" w:hAnsi="Times New Roman CYR" w:cs="Times New Roman CYR"/>
          <w:szCs w:val="24"/>
        </w:rPr>
        <w:t xml:space="preserve"> </w:t>
      </w:r>
      <w:r w:rsidRPr="00AD3E16">
        <w:rPr>
          <w:rFonts w:ascii="Times New Roman CYR" w:hAnsi="Times New Roman CYR" w:cs="Times New Roman CYR"/>
          <w:szCs w:val="24"/>
        </w:rPr>
        <w:t>г. №</w:t>
      </w:r>
      <w:r w:rsidR="009F4236">
        <w:rPr>
          <w:rFonts w:ascii="Times New Roman CYR" w:hAnsi="Times New Roman CYR" w:cs="Times New Roman CYR"/>
          <w:szCs w:val="24"/>
        </w:rPr>
        <w:t xml:space="preserve"> </w:t>
      </w:r>
      <w:r w:rsidR="00242E20" w:rsidRPr="00AD3E16">
        <w:rPr>
          <w:rFonts w:ascii="Times New Roman CYR" w:hAnsi="Times New Roman CYR" w:cs="Times New Roman CYR"/>
          <w:szCs w:val="24"/>
        </w:rPr>
        <w:t xml:space="preserve">1050 </w:t>
      </w:r>
      <w:r w:rsidRPr="00AD3E16">
        <w:rPr>
          <w:rFonts w:ascii="Times New Roman CYR" w:hAnsi="Times New Roman CYR" w:cs="Times New Roman CYR"/>
          <w:szCs w:val="24"/>
        </w:rPr>
        <w:t>«</w:t>
      </w:r>
      <w:r w:rsidR="00752BFF" w:rsidRPr="00AD3E16">
        <w:rPr>
          <w:rFonts w:ascii="Times New Roman CYR" w:hAnsi="Times New Roman CYR" w:cs="Times New Roman CYR"/>
          <w:szCs w:val="24"/>
        </w:rPr>
        <w:t>О</w:t>
      </w:r>
      <w:r w:rsidRPr="00AD3E16">
        <w:rPr>
          <w:rFonts w:ascii="Times New Roman CYR" w:hAnsi="Times New Roman CYR" w:cs="Times New Roman CYR"/>
          <w:szCs w:val="24"/>
        </w:rPr>
        <w:t xml:space="preserve"> внесени</w:t>
      </w:r>
      <w:r w:rsidR="00AD3E16" w:rsidRPr="00AD3E16">
        <w:rPr>
          <w:rFonts w:ascii="Times New Roman CYR" w:hAnsi="Times New Roman CYR" w:cs="Times New Roman CYR"/>
          <w:szCs w:val="24"/>
        </w:rPr>
        <w:t>и</w:t>
      </w:r>
      <w:r w:rsidRPr="00AD3E16">
        <w:rPr>
          <w:rFonts w:ascii="Times New Roman CYR" w:hAnsi="Times New Roman CYR" w:cs="Times New Roman CYR"/>
          <w:szCs w:val="24"/>
        </w:rPr>
        <w:t xml:space="preserve"> изменени</w:t>
      </w:r>
      <w:r w:rsidR="00AD3E16" w:rsidRPr="00AD3E16">
        <w:rPr>
          <w:rFonts w:ascii="Times New Roman CYR" w:hAnsi="Times New Roman CYR" w:cs="Times New Roman CYR"/>
          <w:szCs w:val="24"/>
        </w:rPr>
        <w:t>я</w:t>
      </w:r>
      <w:r w:rsidRPr="00AD3E16">
        <w:rPr>
          <w:rFonts w:ascii="Times New Roman CYR" w:hAnsi="Times New Roman CYR" w:cs="Times New Roman CYR"/>
          <w:szCs w:val="24"/>
        </w:rPr>
        <w:t xml:space="preserve"> в Методику оценки эффективности налоговых расходов города Канаш Чувашской Республики, куратором которых является администрация города Канаш Чувашской Республики»;</w:t>
      </w:r>
    </w:p>
    <w:p w14:paraId="0D2EFA1B" w14:textId="4805C6EC" w:rsidR="00CA2346" w:rsidRPr="00EE3081" w:rsidRDefault="00CA2346" w:rsidP="00CA2346">
      <w:pPr>
        <w:pStyle w:val="a4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 CYR" w:hAnsi="Times New Roman CYR" w:cs="Times New Roman CYR"/>
          <w:szCs w:val="24"/>
        </w:rPr>
      </w:pPr>
      <w:r w:rsidRPr="00AD3E16">
        <w:rPr>
          <w:rFonts w:ascii="Times New Roman CYR" w:hAnsi="Times New Roman CYR" w:cs="Times New Roman CYR"/>
          <w:szCs w:val="24"/>
        </w:rPr>
        <w:t xml:space="preserve">- </w:t>
      </w:r>
      <w:r w:rsidR="00DB4894" w:rsidRPr="00AD3E16">
        <w:rPr>
          <w:rFonts w:ascii="Times New Roman CYR" w:hAnsi="Times New Roman CYR" w:cs="Times New Roman CYR"/>
          <w:szCs w:val="24"/>
        </w:rPr>
        <w:t xml:space="preserve">постановление администрации </w:t>
      </w:r>
      <w:r w:rsidR="00DB4894" w:rsidRPr="00DB4894">
        <w:rPr>
          <w:rFonts w:ascii="Times New Roman CYR" w:hAnsi="Times New Roman CYR" w:cs="Times New Roman CYR"/>
          <w:szCs w:val="24"/>
        </w:rPr>
        <w:t>Канаш</w:t>
      </w:r>
      <w:r w:rsidR="00564731">
        <w:rPr>
          <w:rFonts w:ascii="Times New Roman CYR" w:hAnsi="Times New Roman CYR" w:cs="Times New Roman CYR"/>
          <w:szCs w:val="24"/>
        </w:rPr>
        <w:t>ского муниципального округа Чувашской Республики</w:t>
      </w:r>
      <w:r w:rsidR="00DB4894" w:rsidRPr="00DB4894">
        <w:rPr>
          <w:rFonts w:ascii="Times New Roman CYR" w:hAnsi="Times New Roman CYR" w:cs="Times New Roman CYR"/>
          <w:szCs w:val="24"/>
        </w:rPr>
        <w:t xml:space="preserve"> от </w:t>
      </w:r>
      <w:r w:rsidR="00564731">
        <w:rPr>
          <w:rFonts w:ascii="Times New Roman CYR" w:hAnsi="Times New Roman CYR" w:cs="Times New Roman CYR"/>
          <w:szCs w:val="24"/>
        </w:rPr>
        <w:t>2</w:t>
      </w:r>
      <w:r w:rsidR="00DB4894" w:rsidRPr="00DB4894">
        <w:rPr>
          <w:rFonts w:ascii="Times New Roman CYR" w:hAnsi="Times New Roman CYR" w:cs="Times New Roman CYR"/>
          <w:szCs w:val="24"/>
        </w:rPr>
        <w:t xml:space="preserve">0 </w:t>
      </w:r>
      <w:r w:rsidR="00564731">
        <w:rPr>
          <w:rFonts w:ascii="Times New Roman CYR" w:hAnsi="Times New Roman CYR" w:cs="Times New Roman CYR"/>
          <w:szCs w:val="24"/>
        </w:rPr>
        <w:t>марта</w:t>
      </w:r>
      <w:r w:rsidR="00DB4894" w:rsidRPr="00DB4894">
        <w:rPr>
          <w:rFonts w:ascii="Times New Roman CYR" w:hAnsi="Times New Roman CYR" w:cs="Times New Roman CYR"/>
          <w:szCs w:val="24"/>
        </w:rPr>
        <w:t xml:space="preserve"> 202</w:t>
      </w:r>
      <w:r w:rsidR="00564731">
        <w:rPr>
          <w:rFonts w:ascii="Times New Roman CYR" w:hAnsi="Times New Roman CYR" w:cs="Times New Roman CYR"/>
          <w:szCs w:val="24"/>
        </w:rPr>
        <w:t>3</w:t>
      </w:r>
      <w:r w:rsidR="009F4236">
        <w:rPr>
          <w:rFonts w:ascii="Times New Roman CYR" w:hAnsi="Times New Roman CYR" w:cs="Times New Roman CYR"/>
          <w:szCs w:val="24"/>
        </w:rPr>
        <w:t xml:space="preserve"> </w:t>
      </w:r>
      <w:r w:rsidR="00DB4894" w:rsidRPr="00DB4894">
        <w:rPr>
          <w:rFonts w:ascii="Times New Roman CYR" w:hAnsi="Times New Roman CYR" w:cs="Times New Roman CYR"/>
          <w:szCs w:val="24"/>
        </w:rPr>
        <w:t>г. №</w:t>
      </w:r>
      <w:r w:rsidR="009F4236">
        <w:rPr>
          <w:rFonts w:ascii="Times New Roman CYR" w:hAnsi="Times New Roman CYR" w:cs="Times New Roman CYR"/>
          <w:szCs w:val="24"/>
        </w:rPr>
        <w:t xml:space="preserve"> </w:t>
      </w:r>
      <w:r w:rsidR="00564731">
        <w:rPr>
          <w:rFonts w:ascii="Times New Roman CYR" w:hAnsi="Times New Roman CYR" w:cs="Times New Roman CYR"/>
          <w:szCs w:val="24"/>
        </w:rPr>
        <w:t>250</w:t>
      </w:r>
      <w:r w:rsidR="00DB4894" w:rsidRPr="00DB4894">
        <w:rPr>
          <w:rFonts w:ascii="Times New Roman CYR" w:hAnsi="Times New Roman CYR" w:cs="Times New Roman CYR"/>
          <w:szCs w:val="24"/>
        </w:rPr>
        <w:t xml:space="preserve"> «</w:t>
      </w:r>
      <w:r w:rsidR="00564731" w:rsidRPr="00564731">
        <w:rPr>
          <w:rFonts w:ascii="Times New Roman CYR" w:hAnsi="Times New Roman CYR" w:cs="Times New Roman CYR"/>
          <w:szCs w:val="24"/>
        </w:rPr>
        <w:t>Об утверждении Методики оценки эффективности налоговых расходов Канашского муниципального округа Чувашской Республики</w:t>
      </w:r>
      <w:r w:rsidR="00DB4894" w:rsidRPr="00DB4894">
        <w:rPr>
          <w:rFonts w:ascii="Times New Roman CYR" w:hAnsi="Times New Roman CYR" w:cs="Times New Roman CYR"/>
          <w:szCs w:val="24"/>
        </w:rPr>
        <w:t>»</w:t>
      </w:r>
      <w:r w:rsidR="00DB4894">
        <w:rPr>
          <w:rFonts w:ascii="Times New Roman CYR" w:hAnsi="Times New Roman CYR" w:cs="Times New Roman CYR"/>
          <w:szCs w:val="24"/>
        </w:rPr>
        <w:t>.</w:t>
      </w:r>
    </w:p>
    <w:p w14:paraId="50FAF367" w14:textId="33BF4A01" w:rsidR="005B60A9" w:rsidRPr="005B60A9" w:rsidRDefault="00EE3081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4"/>
        </w:rPr>
      </w:pPr>
      <w:bookmarkStart w:id="1" w:name="sub_2"/>
      <w:bookmarkEnd w:id="0"/>
      <w:r>
        <w:rPr>
          <w:rFonts w:ascii="Times New Roman CYR" w:hAnsi="Times New Roman CYR" w:cs="Times New Roman CYR"/>
          <w:szCs w:val="24"/>
        </w:rPr>
        <w:t>3</w:t>
      </w:r>
      <w:r w:rsidR="005B60A9" w:rsidRPr="005B60A9">
        <w:rPr>
          <w:rFonts w:ascii="Times New Roman CYR" w:hAnsi="Times New Roman CYR" w:cs="Times New Roman CYR"/>
          <w:szCs w:val="24"/>
        </w:rPr>
        <w:t xml:space="preserve">. Настоящее постановление вступает в силу после его </w:t>
      </w:r>
      <w:r>
        <w:rPr>
          <w:rFonts w:ascii="Times New Roman CYR" w:hAnsi="Times New Roman CYR" w:cs="Times New Roman CYR"/>
          <w:szCs w:val="24"/>
        </w:rPr>
        <w:t>официального опубликования</w:t>
      </w:r>
      <w:r w:rsidR="005B60A9" w:rsidRPr="005B60A9">
        <w:rPr>
          <w:rFonts w:ascii="Times New Roman CYR" w:hAnsi="Times New Roman CYR" w:cs="Times New Roman CYR"/>
          <w:szCs w:val="24"/>
        </w:rPr>
        <w:t xml:space="preserve"> и распространяется на правоотношения, возникшие с 1 января 202</w:t>
      </w:r>
      <w:r>
        <w:rPr>
          <w:rFonts w:ascii="Times New Roman CYR" w:hAnsi="Times New Roman CYR" w:cs="Times New Roman CYR"/>
          <w:szCs w:val="24"/>
        </w:rPr>
        <w:t>5</w:t>
      </w:r>
      <w:r w:rsidR="005B60A9" w:rsidRPr="005B60A9">
        <w:rPr>
          <w:rFonts w:ascii="Times New Roman CYR" w:hAnsi="Times New Roman CYR" w:cs="Times New Roman CYR"/>
          <w:szCs w:val="24"/>
        </w:rPr>
        <w:t xml:space="preserve"> года.</w:t>
      </w:r>
    </w:p>
    <w:bookmarkEnd w:id="1"/>
    <w:p w14:paraId="2DD21CB3" w14:textId="12BC47A0" w:rsidR="002A7D8C" w:rsidRDefault="002A7D8C"/>
    <w:p w14:paraId="5C147DD8" w14:textId="2697D4CE" w:rsidR="005B60A9" w:rsidRDefault="005B60A9"/>
    <w:p w14:paraId="29CB9E41" w14:textId="0382FF08" w:rsidR="005B60A9" w:rsidRDefault="005B60A9"/>
    <w:p w14:paraId="48332E24" w14:textId="77777777" w:rsidR="009F4236" w:rsidRDefault="009F4236" w:rsidP="009F4236">
      <w:pPr>
        <w:spacing w:after="1" w:line="240" w:lineRule="atLeast"/>
        <w:rPr>
          <w:rFonts w:ascii="Times New Roman" w:eastAsia="Calibri" w:hAnsi="Times New Roman"/>
          <w:lang w:eastAsia="en-US"/>
        </w:rPr>
      </w:pPr>
      <w:r w:rsidRPr="009F4236">
        <w:rPr>
          <w:rFonts w:ascii="Times New Roman" w:eastAsia="Calibri" w:hAnsi="Times New Roman"/>
          <w:szCs w:val="22"/>
          <w:lang w:eastAsia="en-US"/>
        </w:rPr>
        <w:t xml:space="preserve">Глав </w:t>
      </w:r>
      <w:r w:rsidRPr="009F4236">
        <w:rPr>
          <w:rFonts w:ascii="Times New Roman" w:eastAsia="Calibri" w:hAnsi="Times New Roman"/>
          <w:lang w:eastAsia="en-US"/>
        </w:rPr>
        <w:t xml:space="preserve">муниципального округа                                                                                 </w:t>
      </w:r>
      <w:proofErr w:type="gramStart"/>
      <w:r w:rsidRPr="009F4236">
        <w:rPr>
          <w:rFonts w:ascii="Times New Roman" w:eastAsia="Calibri" w:hAnsi="Times New Roman"/>
          <w:lang w:eastAsia="en-US"/>
        </w:rPr>
        <w:t>В.А.</w:t>
      </w:r>
      <w:proofErr w:type="gramEnd"/>
      <w:r w:rsidRPr="009F4236">
        <w:rPr>
          <w:rFonts w:ascii="Times New Roman" w:eastAsia="Calibri" w:hAnsi="Times New Roman"/>
          <w:lang w:eastAsia="en-US"/>
        </w:rPr>
        <w:t xml:space="preserve"> Чернов</w:t>
      </w:r>
    </w:p>
    <w:p w14:paraId="23960FC3" w14:textId="77777777" w:rsidR="009F4236" w:rsidRDefault="009F4236" w:rsidP="009F4236">
      <w:pPr>
        <w:spacing w:after="1" w:line="240" w:lineRule="atLeast"/>
        <w:rPr>
          <w:rFonts w:ascii="Times New Roman" w:eastAsia="Calibri" w:hAnsi="Times New Roman"/>
          <w:lang w:eastAsia="en-US"/>
        </w:rPr>
      </w:pPr>
    </w:p>
    <w:p w14:paraId="1D68B64A" w14:textId="77777777" w:rsidR="009F4236" w:rsidRDefault="009F4236" w:rsidP="009F4236">
      <w:pPr>
        <w:spacing w:after="1" w:line="240" w:lineRule="atLeast"/>
        <w:rPr>
          <w:rFonts w:ascii="Times New Roman" w:eastAsia="Calibri" w:hAnsi="Times New Roman"/>
          <w:lang w:eastAsia="en-US"/>
        </w:rPr>
      </w:pPr>
    </w:p>
    <w:p w14:paraId="2D18C306" w14:textId="77777777" w:rsidR="009F4236" w:rsidRPr="009F4236" w:rsidRDefault="009F4236" w:rsidP="009F4236">
      <w:pPr>
        <w:spacing w:after="1" w:line="240" w:lineRule="atLeast"/>
        <w:rPr>
          <w:rFonts w:ascii="Times New Roman" w:eastAsia="Calibri" w:hAnsi="Times New Roman"/>
          <w:lang w:eastAsia="en-US"/>
        </w:rPr>
      </w:pPr>
    </w:p>
    <w:p w14:paraId="537E7A19" w14:textId="3F40DD86" w:rsidR="005B60A9" w:rsidRDefault="005B60A9"/>
    <w:p w14:paraId="0559DEE2" w14:textId="5F4E0007" w:rsidR="002A519A" w:rsidRPr="002A519A" w:rsidRDefault="002A519A" w:rsidP="002A519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color w:val="26282F"/>
          <w:szCs w:val="24"/>
        </w:rPr>
      </w:pPr>
      <w:bookmarkStart w:id="2" w:name="sub_1000"/>
      <w:r w:rsidRPr="002A519A">
        <w:rPr>
          <w:rFonts w:ascii="Times New Roman" w:hAnsi="Times New Roman"/>
          <w:b/>
          <w:bCs/>
          <w:color w:val="26282F"/>
          <w:szCs w:val="24"/>
        </w:rPr>
        <w:lastRenderedPageBreak/>
        <w:t xml:space="preserve">                  </w:t>
      </w:r>
      <w:r w:rsidR="009F4236">
        <w:rPr>
          <w:rFonts w:ascii="Times New Roman" w:hAnsi="Times New Roman"/>
          <w:b/>
          <w:bCs/>
          <w:color w:val="26282F"/>
          <w:szCs w:val="24"/>
        </w:rPr>
        <w:t xml:space="preserve">                                        </w:t>
      </w:r>
      <w:r w:rsidRPr="002A519A">
        <w:rPr>
          <w:rFonts w:ascii="Times New Roman" w:hAnsi="Times New Roman"/>
          <w:b/>
          <w:bCs/>
          <w:color w:val="26282F"/>
          <w:szCs w:val="24"/>
        </w:rPr>
        <w:t xml:space="preserve">   </w:t>
      </w:r>
      <w:r w:rsidR="005B60A9" w:rsidRPr="005B60A9">
        <w:rPr>
          <w:rFonts w:ascii="Times New Roman" w:hAnsi="Times New Roman"/>
          <w:color w:val="26282F"/>
          <w:szCs w:val="24"/>
        </w:rPr>
        <w:t>Утверждена</w:t>
      </w:r>
    </w:p>
    <w:p w14:paraId="2CD86078" w14:textId="77777777" w:rsidR="009F4236" w:rsidRDefault="002A519A" w:rsidP="002A519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color w:val="26282F"/>
          <w:szCs w:val="24"/>
        </w:rPr>
      </w:pPr>
      <w:r w:rsidRPr="002A519A">
        <w:rPr>
          <w:rFonts w:ascii="Times New Roman" w:hAnsi="Times New Roman"/>
          <w:color w:val="26282F"/>
          <w:szCs w:val="24"/>
        </w:rPr>
        <w:t xml:space="preserve">                                                       </w:t>
      </w:r>
      <w:r w:rsidR="009F4236">
        <w:rPr>
          <w:rFonts w:ascii="Times New Roman" w:hAnsi="Times New Roman"/>
          <w:color w:val="26282F"/>
          <w:szCs w:val="24"/>
        </w:rPr>
        <w:t xml:space="preserve">          </w:t>
      </w:r>
      <w:r w:rsidRPr="002A519A">
        <w:rPr>
          <w:rFonts w:ascii="Times New Roman" w:hAnsi="Times New Roman"/>
          <w:color w:val="26282F"/>
          <w:szCs w:val="24"/>
        </w:rPr>
        <w:t xml:space="preserve"> </w:t>
      </w:r>
      <w:hyperlink w:anchor="sub_0" w:history="1">
        <w:r w:rsidRPr="002A519A">
          <w:rPr>
            <w:rFonts w:ascii="Times New Roman" w:hAnsi="Times New Roman"/>
            <w:szCs w:val="24"/>
          </w:rPr>
          <w:t>постан</w:t>
        </w:r>
        <w:r>
          <w:rPr>
            <w:rFonts w:ascii="Times New Roman" w:hAnsi="Times New Roman"/>
            <w:szCs w:val="24"/>
          </w:rPr>
          <w:t>ов</w:t>
        </w:r>
        <w:r w:rsidRPr="002A519A">
          <w:rPr>
            <w:rFonts w:ascii="Times New Roman" w:hAnsi="Times New Roman"/>
            <w:szCs w:val="24"/>
          </w:rPr>
          <w:t>лением</w:t>
        </w:r>
      </w:hyperlink>
      <w:r w:rsidR="009F4236">
        <w:t xml:space="preserve">         </w:t>
      </w:r>
      <w:r w:rsidR="005B60A9" w:rsidRPr="005B60A9">
        <w:rPr>
          <w:rFonts w:ascii="Times New Roman" w:hAnsi="Times New Roman"/>
          <w:szCs w:val="24"/>
        </w:rPr>
        <w:t xml:space="preserve"> </w:t>
      </w:r>
      <w:r w:rsidR="005B60A9" w:rsidRPr="005B60A9">
        <w:rPr>
          <w:rFonts w:ascii="Times New Roman" w:hAnsi="Times New Roman"/>
          <w:color w:val="26282F"/>
          <w:szCs w:val="24"/>
        </w:rPr>
        <w:t>администрации</w:t>
      </w:r>
    </w:p>
    <w:p w14:paraId="1FE02C23" w14:textId="1E820120" w:rsidR="002A519A" w:rsidRPr="002A519A" w:rsidRDefault="002A519A" w:rsidP="002A519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color w:val="26282F"/>
          <w:szCs w:val="24"/>
        </w:rPr>
      </w:pPr>
      <w:r w:rsidRPr="002A519A">
        <w:rPr>
          <w:rFonts w:ascii="Times New Roman" w:hAnsi="Times New Roman"/>
          <w:color w:val="26282F"/>
          <w:szCs w:val="24"/>
        </w:rPr>
        <w:t xml:space="preserve">                                                               </w:t>
      </w:r>
      <w:r w:rsidR="009F4236">
        <w:rPr>
          <w:rFonts w:ascii="Times New Roman" w:hAnsi="Times New Roman"/>
          <w:color w:val="26282F"/>
          <w:szCs w:val="24"/>
        </w:rPr>
        <w:t xml:space="preserve"> </w:t>
      </w:r>
      <w:r w:rsidRPr="002A519A">
        <w:rPr>
          <w:rFonts w:ascii="Times New Roman" w:hAnsi="Times New Roman"/>
          <w:color w:val="26282F"/>
          <w:szCs w:val="24"/>
        </w:rPr>
        <w:t xml:space="preserve"> </w:t>
      </w:r>
      <w:r w:rsidR="009F4236">
        <w:rPr>
          <w:rFonts w:ascii="Times New Roman" w:hAnsi="Times New Roman"/>
          <w:color w:val="26282F"/>
          <w:szCs w:val="24"/>
        </w:rPr>
        <w:t xml:space="preserve"> </w:t>
      </w:r>
      <w:proofErr w:type="gramStart"/>
      <w:r w:rsidR="005B60A9" w:rsidRPr="002A519A">
        <w:rPr>
          <w:rFonts w:ascii="Times New Roman" w:hAnsi="Times New Roman"/>
          <w:color w:val="26282F"/>
          <w:szCs w:val="24"/>
        </w:rPr>
        <w:t>Канашского</w:t>
      </w:r>
      <w:r w:rsidR="009F4236">
        <w:rPr>
          <w:rFonts w:ascii="Times New Roman" w:hAnsi="Times New Roman"/>
          <w:color w:val="26282F"/>
          <w:szCs w:val="24"/>
        </w:rPr>
        <w:t xml:space="preserve"> </w:t>
      </w:r>
      <w:r w:rsidR="005B60A9" w:rsidRPr="002A519A">
        <w:rPr>
          <w:rFonts w:ascii="Times New Roman" w:hAnsi="Times New Roman"/>
          <w:color w:val="26282F"/>
          <w:szCs w:val="24"/>
        </w:rPr>
        <w:t xml:space="preserve"> муниципального</w:t>
      </w:r>
      <w:proofErr w:type="gramEnd"/>
      <w:r w:rsidR="005B60A9" w:rsidRPr="002A519A">
        <w:rPr>
          <w:rFonts w:ascii="Times New Roman" w:hAnsi="Times New Roman"/>
          <w:color w:val="26282F"/>
          <w:szCs w:val="24"/>
        </w:rPr>
        <w:t xml:space="preserve"> </w:t>
      </w:r>
      <w:r w:rsidR="009F4236">
        <w:rPr>
          <w:rFonts w:ascii="Times New Roman" w:hAnsi="Times New Roman"/>
          <w:color w:val="26282F"/>
          <w:szCs w:val="24"/>
        </w:rPr>
        <w:t xml:space="preserve"> </w:t>
      </w:r>
      <w:r w:rsidR="005B60A9" w:rsidRPr="002A519A">
        <w:rPr>
          <w:rFonts w:ascii="Times New Roman" w:hAnsi="Times New Roman"/>
          <w:color w:val="26282F"/>
          <w:szCs w:val="24"/>
        </w:rPr>
        <w:t>округа</w:t>
      </w:r>
      <w:r w:rsidRPr="002A519A">
        <w:rPr>
          <w:rFonts w:ascii="Times New Roman" w:hAnsi="Times New Roman"/>
          <w:color w:val="26282F"/>
          <w:szCs w:val="24"/>
        </w:rPr>
        <w:t xml:space="preserve"> </w:t>
      </w:r>
    </w:p>
    <w:p w14:paraId="0A75DFF9" w14:textId="47DA6997" w:rsidR="005B60A9" w:rsidRPr="005B60A9" w:rsidRDefault="002A519A" w:rsidP="002A519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color w:val="26282F"/>
          <w:szCs w:val="24"/>
        </w:rPr>
      </w:pPr>
      <w:r w:rsidRPr="002A519A">
        <w:rPr>
          <w:rFonts w:ascii="Times New Roman" w:hAnsi="Times New Roman"/>
          <w:color w:val="26282F"/>
          <w:szCs w:val="24"/>
        </w:rPr>
        <w:t xml:space="preserve">                                         </w:t>
      </w:r>
      <w:r w:rsidR="005B60A9" w:rsidRPr="005B60A9">
        <w:rPr>
          <w:rFonts w:ascii="Times New Roman" w:hAnsi="Times New Roman"/>
          <w:color w:val="26282F"/>
          <w:szCs w:val="24"/>
        </w:rPr>
        <w:t>Чувашской Республики</w:t>
      </w:r>
      <w:r w:rsidR="005B60A9" w:rsidRPr="005B60A9">
        <w:rPr>
          <w:rFonts w:ascii="Times New Roman" w:hAnsi="Times New Roman"/>
          <w:color w:val="26282F"/>
          <w:szCs w:val="24"/>
        </w:rPr>
        <w:br/>
      </w:r>
      <w:r w:rsidRPr="002A519A">
        <w:rPr>
          <w:rFonts w:ascii="Times New Roman" w:hAnsi="Times New Roman"/>
          <w:color w:val="26282F"/>
          <w:szCs w:val="24"/>
        </w:rPr>
        <w:t xml:space="preserve">                                      </w:t>
      </w:r>
      <w:r w:rsidR="009F4236">
        <w:rPr>
          <w:rFonts w:ascii="Times New Roman" w:hAnsi="Times New Roman"/>
          <w:color w:val="26282F"/>
          <w:szCs w:val="24"/>
        </w:rPr>
        <w:t xml:space="preserve">                               </w:t>
      </w:r>
      <w:r w:rsidRPr="002A519A">
        <w:rPr>
          <w:rFonts w:ascii="Times New Roman" w:hAnsi="Times New Roman"/>
          <w:color w:val="26282F"/>
          <w:szCs w:val="24"/>
        </w:rPr>
        <w:t xml:space="preserve"> </w:t>
      </w:r>
      <w:r w:rsidR="00EA1755">
        <w:rPr>
          <w:rFonts w:ascii="Times New Roman" w:hAnsi="Times New Roman"/>
          <w:color w:val="26282F"/>
          <w:szCs w:val="24"/>
        </w:rPr>
        <w:t xml:space="preserve"> </w:t>
      </w:r>
      <w:r w:rsidR="005B60A9" w:rsidRPr="005B60A9">
        <w:rPr>
          <w:rFonts w:ascii="Times New Roman" w:hAnsi="Times New Roman"/>
          <w:color w:val="26282F"/>
          <w:szCs w:val="24"/>
        </w:rPr>
        <w:t xml:space="preserve">от </w:t>
      </w:r>
      <w:r>
        <w:rPr>
          <w:rFonts w:ascii="Times New Roman" w:hAnsi="Times New Roman"/>
          <w:color w:val="26282F"/>
          <w:szCs w:val="24"/>
        </w:rPr>
        <w:t xml:space="preserve"> </w:t>
      </w:r>
      <w:r w:rsidR="009F4236">
        <w:rPr>
          <w:rFonts w:ascii="Times New Roman" w:hAnsi="Times New Roman"/>
          <w:color w:val="26282F"/>
          <w:szCs w:val="24"/>
        </w:rPr>
        <w:t xml:space="preserve"> _________________ № ____</w:t>
      </w:r>
      <w:r w:rsidR="005B60A9" w:rsidRPr="005B60A9">
        <w:rPr>
          <w:rFonts w:ascii="Times New Roman" w:hAnsi="Times New Roman"/>
          <w:color w:val="26282F"/>
          <w:szCs w:val="24"/>
        </w:rPr>
        <w:t> </w:t>
      </w:r>
    </w:p>
    <w:bookmarkEnd w:id="2"/>
    <w:p w14:paraId="671E0475" w14:textId="0F09BCA0" w:rsid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03961195" w14:textId="77777777" w:rsidR="004467DB" w:rsidRPr="005B60A9" w:rsidRDefault="004467DB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059DF4C5" w14:textId="4789622C" w:rsidR="005B60A9" w:rsidRPr="005B60A9" w:rsidRDefault="005B60A9" w:rsidP="005B60A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hAnsi="Times New Roman"/>
          <w:b/>
          <w:bCs/>
          <w:color w:val="26282F"/>
          <w:szCs w:val="24"/>
        </w:rPr>
      </w:pPr>
      <w:r w:rsidRPr="005B60A9">
        <w:rPr>
          <w:rFonts w:ascii="Times New Roman" w:hAnsi="Times New Roman"/>
          <w:b/>
          <w:bCs/>
          <w:color w:val="26282F"/>
          <w:szCs w:val="24"/>
        </w:rPr>
        <w:t>Методика</w:t>
      </w:r>
      <w:r w:rsidRPr="005B60A9">
        <w:rPr>
          <w:rFonts w:ascii="Times New Roman" w:hAnsi="Times New Roman"/>
          <w:b/>
          <w:bCs/>
          <w:color w:val="26282F"/>
          <w:szCs w:val="24"/>
        </w:rPr>
        <w:br/>
        <w:t xml:space="preserve">оценки эффективности налоговых расходов </w:t>
      </w:r>
      <w:r w:rsidRPr="002A519A">
        <w:rPr>
          <w:rFonts w:ascii="Times New Roman" w:hAnsi="Times New Roman"/>
          <w:b/>
          <w:bCs/>
          <w:color w:val="26282F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b/>
          <w:bCs/>
          <w:color w:val="26282F"/>
          <w:szCs w:val="24"/>
        </w:rPr>
        <w:t xml:space="preserve"> Чувашской Республики, куратором которых является администрация </w:t>
      </w:r>
      <w:r w:rsidRPr="002A519A">
        <w:rPr>
          <w:rFonts w:ascii="Times New Roman" w:hAnsi="Times New Roman"/>
          <w:b/>
          <w:bCs/>
          <w:color w:val="26282F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b/>
          <w:bCs/>
          <w:color w:val="26282F"/>
          <w:szCs w:val="24"/>
        </w:rPr>
        <w:t xml:space="preserve"> Чувашской Республики</w:t>
      </w:r>
    </w:p>
    <w:p w14:paraId="47465DA4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7183445A" w14:textId="52033787" w:rsidR="005B60A9" w:rsidRPr="005B60A9" w:rsidRDefault="005B60A9" w:rsidP="005B60A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hAnsi="Times New Roman"/>
          <w:b/>
          <w:bCs/>
          <w:color w:val="26282F"/>
          <w:szCs w:val="24"/>
        </w:rPr>
      </w:pPr>
      <w:bookmarkStart w:id="3" w:name="sub_1001"/>
      <w:r w:rsidRPr="005B60A9">
        <w:rPr>
          <w:rFonts w:ascii="Times New Roman" w:hAnsi="Times New Roman"/>
          <w:b/>
          <w:bCs/>
          <w:color w:val="26282F"/>
          <w:szCs w:val="24"/>
        </w:rPr>
        <w:t xml:space="preserve">I. Общие положения </w:t>
      </w:r>
    </w:p>
    <w:bookmarkEnd w:id="3"/>
    <w:p w14:paraId="53E2207D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2505358D" w14:textId="1494AE83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bookmarkStart w:id="4" w:name="sub_11"/>
      <w:r w:rsidRPr="005B60A9">
        <w:rPr>
          <w:rFonts w:ascii="Times New Roman" w:hAnsi="Times New Roman"/>
          <w:szCs w:val="24"/>
        </w:rPr>
        <w:t xml:space="preserve">1.1. Методика оценки эффективности налоговых расходов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 предусматривает оценку целесообразности и оценку результативности по каждому налоговому расходу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Республики, куратором которого является администрация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 (далее - Методика), в целях подготовки выводов по результатам оценки эффективности соответствующего налогового расхода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 и предложений</w:t>
      </w:r>
      <w:r w:rsidR="00741DEE">
        <w:rPr>
          <w:rFonts w:ascii="Times New Roman" w:hAnsi="Times New Roman"/>
          <w:szCs w:val="24"/>
        </w:rPr>
        <w:t>, представляемых</w:t>
      </w:r>
      <w:r w:rsidRPr="005B60A9">
        <w:rPr>
          <w:rFonts w:ascii="Times New Roman" w:hAnsi="Times New Roman"/>
          <w:szCs w:val="24"/>
        </w:rPr>
        <w:t xml:space="preserve"> в финансов</w:t>
      </w:r>
      <w:r w:rsidR="006C3074">
        <w:rPr>
          <w:rFonts w:ascii="Times New Roman" w:hAnsi="Times New Roman"/>
          <w:szCs w:val="24"/>
        </w:rPr>
        <w:t>ое управление</w:t>
      </w:r>
      <w:r w:rsidRPr="005B60A9">
        <w:rPr>
          <w:rFonts w:ascii="Times New Roman" w:hAnsi="Times New Roman"/>
          <w:szCs w:val="24"/>
        </w:rPr>
        <w:t xml:space="preserve"> администрации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</w:t>
      </w:r>
      <w:r w:rsidR="00002CCE">
        <w:rPr>
          <w:rFonts w:ascii="Times New Roman" w:hAnsi="Times New Roman"/>
          <w:szCs w:val="24"/>
        </w:rPr>
        <w:t>Чувашской Республики</w:t>
      </w:r>
      <w:r w:rsidR="00741DEE">
        <w:rPr>
          <w:rFonts w:ascii="Times New Roman" w:hAnsi="Times New Roman"/>
          <w:szCs w:val="24"/>
        </w:rPr>
        <w:t xml:space="preserve"> (далее – Финуправление)</w:t>
      </w:r>
      <w:r w:rsidR="00002CCE">
        <w:rPr>
          <w:rFonts w:ascii="Times New Roman" w:hAnsi="Times New Roman"/>
          <w:szCs w:val="24"/>
        </w:rPr>
        <w:t xml:space="preserve"> </w:t>
      </w:r>
      <w:r w:rsidRPr="005B60A9">
        <w:rPr>
          <w:rFonts w:ascii="Times New Roman" w:hAnsi="Times New Roman"/>
          <w:szCs w:val="24"/>
        </w:rPr>
        <w:t xml:space="preserve">о сохранении (уточнении, отмене) льготы, обуславливающей налоговый расход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Республики.</w:t>
      </w:r>
    </w:p>
    <w:p w14:paraId="53E42967" w14:textId="5373C482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bookmarkStart w:id="5" w:name="sub_12"/>
      <w:bookmarkEnd w:id="4"/>
      <w:r w:rsidRPr="005B60A9">
        <w:rPr>
          <w:rFonts w:ascii="Times New Roman" w:hAnsi="Times New Roman"/>
          <w:szCs w:val="24"/>
        </w:rPr>
        <w:t xml:space="preserve">1.2. Оценка эффективности налоговых расходов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 (далее - налоговые расходы), предоставленных плательщикам льгот, проводится администрацией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 до 10 мая текущего года</w:t>
      </w:r>
      <w:r w:rsidR="000049F6">
        <w:rPr>
          <w:rFonts w:ascii="Times New Roman" w:hAnsi="Times New Roman"/>
          <w:szCs w:val="24"/>
        </w:rPr>
        <w:t>.</w:t>
      </w:r>
    </w:p>
    <w:p w14:paraId="731543AF" w14:textId="69FD7E00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bookmarkStart w:id="6" w:name="sub_13"/>
      <w:bookmarkEnd w:id="5"/>
      <w:r w:rsidRPr="005B60A9">
        <w:rPr>
          <w:rFonts w:ascii="Times New Roman" w:hAnsi="Times New Roman"/>
          <w:szCs w:val="24"/>
        </w:rPr>
        <w:t xml:space="preserve">1.3. Перечень показателей для проведения оценки налоговых расходов, результаты оценки эффективности налоговых расходов, рекомендации по результатам указанной оценки, включая рекомендации о необходимости сохранения (уточнения, отмены) предоставленных плательщикам льгот, направляются администрацией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</w:t>
      </w:r>
      <w:bookmarkStart w:id="7" w:name="_Hlk189656577"/>
      <w:r w:rsidRPr="005B60A9">
        <w:rPr>
          <w:rFonts w:ascii="Times New Roman" w:hAnsi="Times New Roman"/>
          <w:szCs w:val="24"/>
        </w:rPr>
        <w:t xml:space="preserve">Чувашской Республики </w:t>
      </w:r>
      <w:bookmarkEnd w:id="7"/>
      <w:r w:rsidRPr="005B60A9">
        <w:rPr>
          <w:rFonts w:ascii="Times New Roman" w:hAnsi="Times New Roman"/>
          <w:szCs w:val="24"/>
        </w:rPr>
        <w:t xml:space="preserve">в </w:t>
      </w:r>
      <w:r w:rsidR="00002CCE" w:rsidRPr="00002CCE">
        <w:rPr>
          <w:rFonts w:ascii="Times New Roman" w:hAnsi="Times New Roman"/>
          <w:szCs w:val="24"/>
        </w:rPr>
        <w:t>Финуправление</w:t>
      </w:r>
      <w:r w:rsidR="000049F6">
        <w:rPr>
          <w:rFonts w:ascii="Times New Roman" w:hAnsi="Times New Roman"/>
          <w:szCs w:val="24"/>
        </w:rPr>
        <w:t xml:space="preserve"> </w:t>
      </w:r>
      <w:r w:rsidRPr="005B60A9">
        <w:rPr>
          <w:rFonts w:ascii="Times New Roman" w:hAnsi="Times New Roman"/>
          <w:szCs w:val="24"/>
        </w:rPr>
        <w:t>ежегодно до 10 мая текущего года.</w:t>
      </w:r>
    </w:p>
    <w:p w14:paraId="11D286AA" w14:textId="38ADD858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bookmarkStart w:id="8" w:name="sub_14"/>
      <w:bookmarkEnd w:id="6"/>
      <w:r w:rsidRPr="005B60A9">
        <w:rPr>
          <w:rFonts w:ascii="Times New Roman" w:hAnsi="Times New Roman"/>
          <w:szCs w:val="24"/>
        </w:rPr>
        <w:t xml:space="preserve">1.4. При анализе налоговых расходов администрацией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 проводится отнесение налоговых расходов к одной из трех целевых категорий налоговых расходов:</w:t>
      </w:r>
    </w:p>
    <w:bookmarkEnd w:id="8"/>
    <w:p w14:paraId="5484E56C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- социальные налоговые расходы - налоговые расходы, которые напрямую способствуют снижению налогового бремени населения (по налогам, взимаемым исключительно с физических лиц), или направлены на создание благоприятных условий для оказания услуг в социальной сфере, повышения их качества и доступности;</w:t>
      </w:r>
    </w:p>
    <w:p w14:paraId="09624CE2" w14:textId="5E22F0EB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 xml:space="preserve">- стимулирующие налоговые расходы - целевая категория налоговых расходов,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="00353BED">
        <w:rPr>
          <w:rFonts w:ascii="Times New Roman" w:hAnsi="Times New Roman"/>
          <w:szCs w:val="24"/>
        </w:rPr>
        <w:t xml:space="preserve"> </w:t>
      </w:r>
      <w:r w:rsidR="00353BED" w:rsidRPr="00353BED">
        <w:rPr>
          <w:rFonts w:ascii="Times New Roman" w:hAnsi="Times New Roman"/>
          <w:szCs w:val="24"/>
        </w:rPr>
        <w:t>Чувашской Республики</w:t>
      </w:r>
      <w:r w:rsidRPr="005B60A9">
        <w:rPr>
          <w:rFonts w:ascii="Times New Roman" w:hAnsi="Times New Roman"/>
          <w:szCs w:val="24"/>
        </w:rPr>
        <w:t>;</w:t>
      </w:r>
    </w:p>
    <w:p w14:paraId="1B2C3C1E" w14:textId="1F409DB9" w:rsid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 xml:space="preserve">- технические налоговые расходы - налоговые расходы, предполагающие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="00353BED">
        <w:rPr>
          <w:rFonts w:ascii="Times New Roman" w:hAnsi="Times New Roman"/>
          <w:szCs w:val="24"/>
        </w:rPr>
        <w:t xml:space="preserve"> </w:t>
      </w:r>
      <w:r w:rsidR="00353BED" w:rsidRPr="00353BED">
        <w:rPr>
          <w:rFonts w:ascii="Times New Roman" w:hAnsi="Times New Roman"/>
          <w:szCs w:val="24"/>
        </w:rPr>
        <w:t>Чувашской Республики</w:t>
      </w:r>
      <w:r w:rsidRPr="005B60A9">
        <w:rPr>
          <w:rFonts w:ascii="Times New Roman" w:hAnsi="Times New Roman"/>
          <w:szCs w:val="24"/>
        </w:rPr>
        <w:t>.</w:t>
      </w:r>
    </w:p>
    <w:p w14:paraId="7D0371E5" w14:textId="77777777" w:rsidR="000049F6" w:rsidRPr="005B60A9" w:rsidRDefault="000049F6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1BC959AA" w14:textId="77777777" w:rsidR="005B60A9" w:rsidRDefault="005B60A9" w:rsidP="005B60A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hAnsi="Times New Roman"/>
          <w:b/>
          <w:bCs/>
          <w:color w:val="26282F"/>
          <w:szCs w:val="24"/>
        </w:rPr>
      </w:pPr>
      <w:bookmarkStart w:id="9" w:name="sub_1002"/>
      <w:r w:rsidRPr="005B60A9">
        <w:rPr>
          <w:rFonts w:ascii="Times New Roman" w:hAnsi="Times New Roman"/>
          <w:b/>
          <w:bCs/>
          <w:color w:val="26282F"/>
          <w:szCs w:val="24"/>
        </w:rPr>
        <w:lastRenderedPageBreak/>
        <w:t>II. Оценка эффективности налогового расхода</w:t>
      </w:r>
    </w:p>
    <w:p w14:paraId="36A5259C" w14:textId="77777777" w:rsidR="00416823" w:rsidRPr="005B60A9" w:rsidRDefault="00416823" w:rsidP="005B60A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hAnsi="Times New Roman"/>
          <w:b/>
          <w:bCs/>
          <w:color w:val="26282F"/>
          <w:szCs w:val="24"/>
        </w:rPr>
      </w:pPr>
    </w:p>
    <w:bookmarkEnd w:id="9"/>
    <w:p w14:paraId="64A8628D" w14:textId="4A9FFFAF" w:rsidR="000049F6" w:rsidRPr="000049F6" w:rsidRDefault="000049F6" w:rsidP="000049F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2.1.</w:t>
      </w:r>
      <w:r w:rsidRPr="000049F6">
        <w:rPr>
          <w:rFonts w:ascii="Times New Roman" w:hAnsi="Times New Roman"/>
          <w:szCs w:val="24"/>
        </w:rPr>
        <w:t xml:space="preserve"> Оценка эффективности налоговых расходов включает:</w:t>
      </w:r>
    </w:p>
    <w:p w14:paraId="2AD9B2CF" w14:textId="77777777" w:rsidR="000049F6" w:rsidRPr="000049F6" w:rsidRDefault="000049F6" w:rsidP="000049F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0049F6">
        <w:rPr>
          <w:rFonts w:ascii="Times New Roman" w:hAnsi="Times New Roman"/>
          <w:szCs w:val="24"/>
        </w:rPr>
        <w:t>1) оценку целесообразности налогового расхода;</w:t>
      </w:r>
    </w:p>
    <w:p w14:paraId="7CAD8523" w14:textId="77777777" w:rsidR="000049F6" w:rsidRPr="000049F6" w:rsidRDefault="000049F6" w:rsidP="000049F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0049F6">
        <w:rPr>
          <w:rFonts w:ascii="Times New Roman" w:hAnsi="Times New Roman"/>
          <w:szCs w:val="24"/>
        </w:rPr>
        <w:t>2) оценку результативности налогового расхода;</w:t>
      </w:r>
    </w:p>
    <w:p w14:paraId="27D99D08" w14:textId="77777777" w:rsidR="000049F6" w:rsidRPr="000049F6" w:rsidRDefault="000049F6" w:rsidP="000049F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0049F6">
        <w:rPr>
          <w:rFonts w:ascii="Times New Roman" w:hAnsi="Times New Roman"/>
          <w:szCs w:val="24"/>
        </w:rPr>
        <w:t>3) выводы по результатам оценки эффективности налогового расхода.</w:t>
      </w:r>
    </w:p>
    <w:p w14:paraId="06227349" w14:textId="3CD4D440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bookmarkStart w:id="10" w:name="sub_21"/>
      <w:r w:rsidRPr="005B60A9">
        <w:rPr>
          <w:rFonts w:ascii="Times New Roman" w:hAnsi="Times New Roman"/>
          <w:szCs w:val="24"/>
        </w:rPr>
        <w:t>2.</w:t>
      </w:r>
      <w:r w:rsidR="000049F6">
        <w:rPr>
          <w:rFonts w:ascii="Times New Roman" w:hAnsi="Times New Roman"/>
          <w:szCs w:val="24"/>
        </w:rPr>
        <w:t>2</w:t>
      </w:r>
      <w:r w:rsidRPr="005B60A9">
        <w:rPr>
          <w:rFonts w:ascii="Times New Roman" w:hAnsi="Times New Roman"/>
          <w:szCs w:val="24"/>
        </w:rPr>
        <w:t>. Оценка целесообразности налогового расхода проводится по следующим критериям:</w:t>
      </w:r>
    </w:p>
    <w:p w14:paraId="72AD6A2B" w14:textId="0C96DD50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bookmarkStart w:id="11" w:name="sub_2101"/>
      <w:bookmarkEnd w:id="10"/>
      <w:r w:rsidRPr="005B60A9">
        <w:rPr>
          <w:rFonts w:ascii="Times New Roman" w:hAnsi="Times New Roman"/>
          <w:szCs w:val="24"/>
        </w:rPr>
        <w:t>1) соответствие</w:t>
      </w:r>
      <w:r w:rsidR="00B243FB" w:rsidRPr="00B243FB">
        <w:t xml:space="preserve"> </w:t>
      </w:r>
      <w:r w:rsidR="00B243FB" w:rsidRPr="00B243FB">
        <w:rPr>
          <w:rFonts w:ascii="Times New Roman" w:hAnsi="Times New Roman"/>
          <w:szCs w:val="24"/>
        </w:rPr>
        <w:t>налоговых расходов</w:t>
      </w:r>
      <w:r w:rsidRPr="005B60A9">
        <w:rPr>
          <w:rFonts w:ascii="Times New Roman" w:hAnsi="Times New Roman"/>
          <w:szCs w:val="24"/>
        </w:rPr>
        <w:t xml:space="preserve"> целям муниципальной программы и (или) целям социально-экономического развития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Республики, не относящимся к муниципальной программе;</w:t>
      </w:r>
    </w:p>
    <w:p w14:paraId="01CEEBBC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bookmarkStart w:id="12" w:name="sub_2102"/>
      <w:bookmarkEnd w:id="11"/>
      <w:r w:rsidRPr="005B60A9">
        <w:rPr>
          <w:rFonts w:ascii="Times New Roman" w:hAnsi="Times New Roman"/>
          <w:szCs w:val="24"/>
        </w:rPr>
        <w:t>2) востребованность плательщиками предоставленных льгот.</w:t>
      </w:r>
    </w:p>
    <w:bookmarkEnd w:id="12"/>
    <w:p w14:paraId="7A36455D" w14:textId="4F8FBA69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 xml:space="preserve">В случае несоответствия налоговых расходов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 хотя бы одному из критериев, указанных в настоящем пункте Методики, администрация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 представляет в Фин</w:t>
      </w:r>
      <w:r w:rsidR="007626DE">
        <w:rPr>
          <w:rFonts w:ascii="Times New Roman" w:hAnsi="Times New Roman"/>
          <w:szCs w:val="24"/>
        </w:rPr>
        <w:t>управление</w:t>
      </w:r>
      <w:r w:rsidRPr="005B60A9">
        <w:rPr>
          <w:rFonts w:ascii="Times New Roman" w:hAnsi="Times New Roman"/>
          <w:szCs w:val="24"/>
        </w:rPr>
        <w:t xml:space="preserve"> предложения о сохранении (уточнении, отмене) льгот для плательщиков.</w:t>
      </w:r>
    </w:p>
    <w:p w14:paraId="0F0FF83A" w14:textId="628BA4C6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bookmarkStart w:id="13" w:name="sub_211"/>
      <w:r w:rsidRPr="005B60A9">
        <w:rPr>
          <w:rFonts w:ascii="Times New Roman" w:hAnsi="Times New Roman"/>
          <w:szCs w:val="24"/>
        </w:rPr>
        <w:t>2.</w:t>
      </w:r>
      <w:r w:rsidR="00B243FB">
        <w:rPr>
          <w:rFonts w:ascii="Times New Roman" w:hAnsi="Times New Roman"/>
          <w:szCs w:val="24"/>
        </w:rPr>
        <w:t>2</w:t>
      </w:r>
      <w:r w:rsidRPr="005B60A9">
        <w:rPr>
          <w:rFonts w:ascii="Times New Roman" w:hAnsi="Times New Roman"/>
          <w:szCs w:val="24"/>
        </w:rPr>
        <w:t xml:space="preserve">.1. Оценка соответствия налогового расхода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 целям муниципальной программы</w:t>
      </w:r>
      <w:r w:rsidR="00B243FB">
        <w:rPr>
          <w:rFonts w:ascii="Times New Roman" w:hAnsi="Times New Roman"/>
          <w:szCs w:val="24"/>
        </w:rPr>
        <w:t xml:space="preserve"> и</w:t>
      </w:r>
      <w:r w:rsidRPr="005B60A9">
        <w:rPr>
          <w:rFonts w:ascii="Times New Roman" w:hAnsi="Times New Roman"/>
          <w:szCs w:val="24"/>
        </w:rPr>
        <w:t xml:space="preserve"> (или) целям социально-экономического развития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Республики, не относящимся к</w:t>
      </w:r>
      <w:r w:rsidR="007626DE">
        <w:rPr>
          <w:rFonts w:ascii="Times New Roman" w:hAnsi="Times New Roman"/>
          <w:szCs w:val="24"/>
        </w:rPr>
        <w:t xml:space="preserve"> </w:t>
      </w:r>
      <w:r w:rsidRPr="005B60A9">
        <w:rPr>
          <w:rFonts w:ascii="Times New Roman" w:hAnsi="Times New Roman"/>
          <w:szCs w:val="24"/>
        </w:rPr>
        <w:t>муниципальной</w:t>
      </w:r>
      <w:r w:rsidR="007626DE">
        <w:rPr>
          <w:rFonts w:ascii="Times New Roman" w:hAnsi="Times New Roman"/>
          <w:szCs w:val="24"/>
        </w:rPr>
        <w:t xml:space="preserve"> </w:t>
      </w:r>
      <w:r w:rsidRPr="005B60A9">
        <w:rPr>
          <w:rFonts w:ascii="Times New Roman" w:hAnsi="Times New Roman"/>
          <w:szCs w:val="24"/>
        </w:rPr>
        <w:t>программе производится по следующей форме:</w:t>
      </w:r>
    </w:p>
    <w:bookmarkEnd w:id="13"/>
    <w:p w14:paraId="72B281CA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tbl>
      <w:tblPr>
        <w:tblW w:w="93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1"/>
        <w:gridCol w:w="2329"/>
        <w:gridCol w:w="1940"/>
        <w:gridCol w:w="3997"/>
      </w:tblGrid>
      <w:tr w:rsidR="005B60A9" w:rsidRPr="005B60A9" w14:paraId="1F341DCF" w14:textId="77777777" w:rsidTr="00516737">
        <w:trPr>
          <w:trHeight w:val="3159"/>
        </w:trPr>
        <w:tc>
          <w:tcPr>
            <w:tcW w:w="10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0F7A" w14:textId="77777777" w:rsidR="005B60A9" w:rsidRPr="005B60A9" w:rsidRDefault="005B60A9" w:rsidP="005B60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B60A9">
              <w:rPr>
                <w:rFonts w:ascii="Times New Roman" w:hAnsi="Times New Roman"/>
                <w:szCs w:val="24"/>
              </w:rPr>
              <w:t>Краткое наименование налогового расхода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A724" w14:textId="4FA3E1CA" w:rsidR="005B60A9" w:rsidRPr="005B60A9" w:rsidRDefault="005B60A9" w:rsidP="005B60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B60A9">
              <w:rPr>
                <w:rFonts w:ascii="Times New Roman" w:hAnsi="Times New Roman"/>
                <w:szCs w:val="24"/>
              </w:rPr>
              <w:t xml:space="preserve">Наименование муниципальной программы и документа, отражающего цель социально-экономического развития </w:t>
            </w:r>
            <w:r w:rsidRPr="002A519A">
              <w:rPr>
                <w:rFonts w:ascii="Times New Roman" w:hAnsi="Times New Roman"/>
                <w:szCs w:val="24"/>
              </w:rPr>
              <w:t>Канашского муниципального округа</w:t>
            </w:r>
            <w:r w:rsidRPr="005B60A9">
              <w:rPr>
                <w:rFonts w:ascii="Times New Roman" w:hAnsi="Times New Roman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F888" w14:textId="77777777" w:rsidR="005B60A9" w:rsidRPr="005B60A9" w:rsidRDefault="005B60A9" w:rsidP="005B60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B60A9">
              <w:rPr>
                <w:rFonts w:ascii="Times New Roman" w:hAnsi="Times New Roman"/>
                <w:szCs w:val="24"/>
              </w:rPr>
              <w:t>Цель муниципальной программы и (или) цель, содержащаяся в документе, отражающем цель социально-экономического развития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334F9" w14:textId="62DAB399" w:rsidR="005B60A9" w:rsidRPr="005B60A9" w:rsidRDefault="005B60A9" w:rsidP="005B60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  <w:r w:rsidRPr="005B60A9">
              <w:rPr>
                <w:rFonts w:ascii="Times New Roman" w:hAnsi="Times New Roman"/>
                <w:szCs w:val="24"/>
              </w:rPr>
              <w:t>Наименование</w:t>
            </w:r>
            <w:r w:rsidR="00B243FB">
              <w:rPr>
                <w:rFonts w:ascii="Times New Roman" w:hAnsi="Times New Roman"/>
                <w:szCs w:val="24"/>
              </w:rPr>
              <w:t xml:space="preserve"> </w:t>
            </w:r>
            <w:r w:rsidRPr="005B60A9">
              <w:rPr>
                <w:rFonts w:ascii="Times New Roman" w:hAnsi="Times New Roman"/>
                <w:szCs w:val="24"/>
              </w:rPr>
              <w:t xml:space="preserve">муниципальной программы, в целях реализации которого предоставляются налоговые льготы/Задачи муниципальной программы и (или) Задачи, направленные на достижение цели, содержащейся в документе, отражающем цель социально-экономического развития </w:t>
            </w:r>
            <w:r w:rsidRPr="002A519A">
              <w:rPr>
                <w:rFonts w:ascii="Times New Roman" w:hAnsi="Times New Roman"/>
                <w:szCs w:val="24"/>
              </w:rPr>
              <w:t>Канашского муниципального округа</w:t>
            </w:r>
            <w:r w:rsidRPr="005B60A9">
              <w:rPr>
                <w:rFonts w:ascii="Times New Roman" w:hAnsi="Times New Roman"/>
                <w:szCs w:val="24"/>
              </w:rPr>
              <w:t xml:space="preserve"> Чувашской Республики</w:t>
            </w:r>
          </w:p>
        </w:tc>
      </w:tr>
      <w:tr w:rsidR="005B60A9" w:rsidRPr="005B60A9" w14:paraId="09651B00" w14:textId="77777777" w:rsidTr="00516737">
        <w:trPr>
          <w:trHeight w:val="285"/>
        </w:trPr>
        <w:tc>
          <w:tcPr>
            <w:tcW w:w="10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5083" w14:textId="77777777" w:rsidR="005B60A9" w:rsidRPr="005B60A9" w:rsidRDefault="005B60A9" w:rsidP="005B60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81EA" w14:textId="77777777" w:rsidR="005B60A9" w:rsidRPr="005B60A9" w:rsidRDefault="005B60A9" w:rsidP="005B60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BD0F" w14:textId="77777777" w:rsidR="005B60A9" w:rsidRPr="005B60A9" w:rsidRDefault="005B60A9" w:rsidP="005B60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2B420" w14:textId="77777777" w:rsidR="005B60A9" w:rsidRPr="005B60A9" w:rsidRDefault="005B60A9" w:rsidP="005B60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06C98DB8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7D4E8097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Прямое влияние предполагает, что связь между налоговыми расходами и вышеуказанными целями должна быть понятной и однозначно воспринимаемой. Косвенное влияние должно сопровождаться описанием обоснования взаимосвязи между налоговыми расходами и вышеуказанными целями.</w:t>
      </w:r>
    </w:p>
    <w:p w14:paraId="47A81C43" w14:textId="2AC61A53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Определение муниципальных программ целям, которым соответствуют налоговые расходы, осуществляется в соответствии с перечнем налоговых расходов.</w:t>
      </w:r>
    </w:p>
    <w:p w14:paraId="1751167A" w14:textId="594AB74A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По результатам оценки налогового расхода целям муниципальной программы и (или) целям социально-экономической политики делается вывод: "эффективно" - при соответствии налогового расхода; "неэффективно" - в случае несоответствия налогового расхода.</w:t>
      </w:r>
    </w:p>
    <w:p w14:paraId="1CD7FB86" w14:textId="234EF90D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bookmarkStart w:id="14" w:name="sub_212"/>
      <w:r w:rsidRPr="005B60A9">
        <w:rPr>
          <w:rFonts w:ascii="Times New Roman" w:hAnsi="Times New Roman"/>
          <w:szCs w:val="24"/>
        </w:rPr>
        <w:t>2.</w:t>
      </w:r>
      <w:r w:rsidR="005534EF">
        <w:rPr>
          <w:rFonts w:ascii="Times New Roman" w:hAnsi="Times New Roman"/>
          <w:szCs w:val="24"/>
        </w:rPr>
        <w:t>2</w:t>
      </w:r>
      <w:r w:rsidRPr="005B60A9">
        <w:rPr>
          <w:rFonts w:ascii="Times New Roman" w:hAnsi="Times New Roman"/>
          <w:szCs w:val="24"/>
        </w:rPr>
        <w:t xml:space="preserve">.2. Оценка востребованности налогового расхода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Республики.</w:t>
      </w:r>
    </w:p>
    <w:bookmarkEnd w:id="14"/>
    <w:p w14:paraId="24D8F5CF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Востребованность плательщиками предоставленных льгот характеризуется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14:paraId="325ACD88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 xml:space="preserve">Под общим количеством плательщиков понимается количество плательщиков, потенциально имеющих право на получение данной льготы. Общее количество </w:t>
      </w:r>
      <w:r w:rsidRPr="005B60A9">
        <w:rPr>
          <w:rFonts w:ascii="Times New Roman" w:hAnsi="Times New Roman"/>
          <w:szCs w:val="24"/>
        </w:rPr>
        <w:lastRenderedPageBreak/>
        <w:t>плательщиков определяется на основании положений нормативных правовых актов, статистических данных.</w:t>
      </w:r>
    </w:p>
    <w:p w14:paraId="608BB13F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Доля плательщиков, воспользовавшихся налоговыми льготами, в общем объеме плательщиков данной категории (</w:t>
      </w:r>
      <w:proofErr w:type="spellStart"/>
      <w:r w:rsidRPr="005B60A9">
        <w:rPr>
          <w:rFonts w:ascii="Times New Roman" w:hAnsi="Times New Roman"/>
          <w:szCs w:val="24"/>
        </w:rPr>
        <w:t>Днп</w:t>
      </w:r>
      <w:proofErr w:type="spellEnd"/>
      <w:r w:rsidRPr="005B60A9">
        <w:rPr>
          <w:rFonts w:ascii="Times New Roman" w:hAnsi="Times New Roman"/>
          <w:szCs w:val="24"/>
        </w:rPr>
        <w:t>, %) определяется по следующей формуле:</w:t>
      </w:r>
    </w:p>
    <w:p w14:paraId="6A1BABBB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429809B6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proofErr w:type="spellStart"/>
      <w:r w:rsidRPr="005B60A9">
        <w:rPr>
          <w:rFonts w:ascii="Times New Roman" w:hAnsi="Times New Roman"/>
          <w:szCs w:val="24"/>
        </w:rPr>
        <w:t>Днп</w:t>
      </w:r>
      <w:proofErr w:type="spellEnd"/>
      <w:r w:rsidRPr="005B60A9">
        <w:rPr>
          <w:rFonts w:ascii="Times New Roman" w:hAnsi="Times New Roman"/>
          <w:szCs w:val="24"/>
        </w:rPr>
        <w:t xml:space="preserve"> = (Kлi-4 + Клi-3 + Kлi-2 + Клi-1 + </w:t>
      </w:r>
      <w:proofErr w:type="spellStart"/>
      <w:r w:rsidRPr="005B60A9">
        <w:rPr>
          <w:rFonts w:ascii="Times New Roman" w:hAnsi="Times New Roman"/>
          <w:szCs w:val="24"/>
        </w:rPr>
        <w:t>Kлi</w:t>
      </w:r>
      <w:proofErr w:type="spellEnd"/>
      <w:r w:rsidRPr="005B60A9">
        <w:rPr>
          <w:rFonts w:ascii="Times New Roman" w:hAnsi="Times New Roman"/>
          <w:szCs w:val="24"/>
        </w:rPr>
        <w:t xml:space="preserve">) / (Ki-4 + Ki-3 + Ki-2 + Ki-1 + </w:t>
      </w:r>
      <w:proofErr w:type="spellStart"/>
      <w:r w:rsidRPr="005B60A9">
        <w:rPr>
          <w:rFonts w:ascii="Times New Roman" w:hAnsi="Times New Roman"/>
          <w:szCs w:val="24"/>
        </w:rPr>
        <w:t>Ki</w:t>
      </w:r>
      <w:proofErr w:type="spellEnd"/>
      <w:r w:rsidRPr="005B60A9">
        <w:rPr>
          <w:rFonts w:ascii="Times New Roman" w:hAnsi="Times New Roman"/>
          <w:szCs w:val="24"/>
        </w:rPr>
        <w:t>) x 100%,</w:t>
      </w:r>
    </w:p>
    <w:p w14:paraId="5DB970B8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2E26285F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где:</w:t>
      </w:r>
    </w:p>
    <w:p w14:paraId="08E7A313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Кл - количество плательщиков, воспользовавшихся налоговыми льготами;</w:t>
      </w:r>
    </w:p>
    <w:p w14:paraId="3967CC38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К - общее количество налогоплательщиков;</w:t>
      </w:r>
    </w:p>
    <w:p w14:paraId="5E1262A6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i - отчетный год.</w:t>
      </w:r>
    </w:p>
    <w:p w14:paraId="025F6023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 xml:space="preserve">В настоящей Методике принимается пороговое значение, при котором льгота становится востребованной, когда </w:t>
      </w:r>
      <w:proofErr w:type="spellStart"/>
      <w:r w:rsidRPr="005B60A9">
        <w:rPr>
          <w:rFonts w:ascii="Times New Roman" w:hAnsi="Times New Roman"/>
          <w:szCs w:val="24"/>
        </w:rPr>
        <w:t>Днп</w:t>
      </w:r>
      <w:proofErr w:type="spellEnd"/>
      <w:r w:rsidRPr="005B60A9">
        <w:rPr>
          <w:rFonts w:ascii="Times New Roman" w:hAnsi="Times New Roman"/>
          <w:szCs w:val="24"/>
        </w:rPr>
        <w:t xml:space="preserve"> = 35%.</w:t>
      </w:r>
    </w:p>
    <w:p w14:paraId="1FF7CC6C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 xml:space="preserve">Налоговый расход считается востребованным, если </w:t>
      </w:r>
      <w:proofErr w:type="spellStart"/>
      <w:proofErr w:type="gramStart"/>
      <w:r w:rsidRPr="005B60A9">
        <w:rPr>
          <w:rFonts w:ascii="Times New Roman" w:hAnsi="Times New Roman"/>
          <w:szCs w:val="24"/>
        </w:rPr>
        <w:t>Днп</w:t>
      </w:r>
      <w:proofErr w:type="spellEnd"/>
      <w:r w:rsidRPr="005B60A9">
        <w:rPr>
          <w:rFonts w:ascii="Times New Roman" w:hAnsi="Times New Roman"/>
          <w:szCs w:val="24"/>
        </w:rPr>
        <w:t xml:space="preserve"> &gt;</w:t>
      </w:r>
      <w:proofErr w:type="gramEnd"/>
      <w:r w:rsidRPr="005B60A9">
        <w:rPr>
          <w:rFonts w:ascii="Times New Roman" w:hAnsi="Times New Roman"/>
          <w:szCs w:val="24"/>
        </w:rPr>
        <w:t xml:space="preserve"> 35%.</w:t>
      </w:r>
    </w:p>
    <w:p w14:paraId="006A1D70" w14:textId="1F5CAECD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bookmarkStart w:id="15" w:name="sub_22"/>
      <w:r w:rsidRPr="005B60A9">
        <w:rPr>
          <w:rFonts w:ascii="Times New Roman" w:hAnsi="Times New Roman"/>
          <w:szCs w:val="24"/>
        </w:rPr>
        <w:t>2</w:t>
      </w:r>
      <w:r w:rsidR="005534EF">
        <w:rPr>
          <w:rFonts w:ascii="Times New Roman" w:hAnsi="Times New Roman"/>
          <w:szCs w:val="24"/>
        </w:rPr>
        <w:t>.3</w:t>
      </w:r>
      <w:r w:rsidRPr="005B60A9">
        <w:rPr>
          <w:rFonts w:ascii="Times New Roman" w:hAnsi="Times New Roman"/>
          <w:szCs w:val="24"/>
        </w:rPr>
        <w:t>. Оценка результативности налогового расхода состоит из:</w:t>
      </w:r>
    </w:p>
    <w:bookmarkEnd w:id="15"/>
    <w:p w14:paraId="01F7FFC6" w14:textId="6FA182AA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 xml:space="preserve">- оценки вклада налоговой льготы, обуславливающей налоговый расход, в изменение значения показателя (индикатора) достижения целей муниципальной программы и (или) целей социально-экономической политики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Республики, не относящихся к муниципальным программам;</w:t>
      </w:r>
    </w:p>
    <w:p w14:paraId="221BF73F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- оценки совокупного бюджетного эффекта налогового расхода (для стимулирующих расходов);</w:t>
      </w:r>
    </w:p>
    <w:p w14:paraId="25E8E039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- оценки бюджетной эффективности налогового расхода.</w:t>
      </w:r>
    </w:p>
    <w:p w14:paraId="6D0CDA0F" w14:textId="1EA5C634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2.</w:t>
      </w:r>
      <w:r w:rsidR="003A4C28">
        <w:rPr>
          <w:rFonts w:ascii="Times New Roman" w:hAnsi="Times New Roman"/>
          <w:szCs w:val="24"/>
        </w:rPr>
        <w:t>3</w:t>
      </w:r>
      <w:r w:rsidRPr="005B60A9">
        <w:rPr>
          <w:rFonts w:ascii="Times New Roman" w:hAnsi="Times New Roman"/>
          <w:szCs w:val="24"/>
        </w:rPr>
        <w:t>.1. Оценка совокупного бюджетного эффекта (самоокупаемости) стимулирующих налоговых расходов определяется отдельно по каждому налоговому расходу. В случае если для отдельных категорий плательщиков, имеющих право на льготы, предоставлены льготы по нескольким видам налогов, оценка совокупного бюджетного эффекта (самоокупаемости) налоговых расходов определяется в целом по указанной категории плательщиков.</w:t>
      </w:r>
    </w:p>
    <w:p w14:paraId="21165FF8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Оценка совокупного бюджетного эффекта (самоокупаемости) стимулирующих налоговых расходов определяется за период с начала действия для плательщиков соответствующих льгот или за 5 отчетных лет (в случае, если указанные льготы действуют более 6 лет на день проведения оценки эффективности налогового расхода) по следующей формуле:</w:t>
      </w:r>
    </w:p>
    <w:p w14:paraId="726C83EF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480E55AB" w14:textId="1D55227B" w:rsidR="005B60A9" w:rsidRPr="005B60A9" w:rsidRDefault="005B60A9" w:rsidP="005B60A9">
      <w:pPr>
        <w:widowControl w:val="0"/>
        <w:autoSpaceDE w:val="0"/>
        <w:autoSpaceDN w:val="0"/>
        <w:adjustRightInd w:val="0"/>
        <w:ind w:firstLine="698"/>
        <w:jc w:val="center"/>
        <w:rPr>
          <w:rFonts w:ascii="Times New Roman" w:hAnsi="Times New Roman"/>
          <w:szCs w:val="24"/>
        </w:rPr>
      </w:pPr>
      <w:r w:rsidRPr="002A519A">
        <w:rPr>
          <w:rFonts w:ascii="Times New Roman" w:hAnsi="Times New Roman"/>
          <w:noProof/>
          <w:szCs w:val="24"/>
        </w:rPr>
        <w:drawing>
          <wp:inline distT="0" distB="0" distL="0" distR="0" wp14:anchorId="0C0FE85C" wp14:editId="594DEB9F">
            <wp:extent cx="951230" cy="34353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34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519A">
        <w:rPr>
          <w:rFonts w:ascii="Times New Roman" w:hAnsi="Times New Roman"/>
          <w:noProof/>
          <w:szCs w:val="24"/>
        </w:rPr>
        <w:drawing>
          <wp:inline distT="0" distB="0" distL="0" distR="0" wp14:anchorId="5951C33F" wp14:editId="14C47AAF">
            <wp:extent cx="1384935" cy="68199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935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9660C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42CCCDE6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где:</w:t>
      </w:r>
    </w:p>
    <w:p w14:paraId="4603CDD7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E - совокупный бюджетный эффект (самоокупаемость) стимулирующих налоговых расходов;</w:t>
      </w:r>
    </w:p>
    <w:p w14:paraId="1AFC906B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i - порядковый номер года, имеющий значение от 1 до 5;</w:t>
      </w:r>
    </w:p>
    <w:p w14:paraId="663D0E25" w14:textId="6DB74C94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2A519A">
        <w:rPr>
          <w:rFonts w:ascii="Times New Roman" w:hAnsi="Times New Roman"/>
          <w:noProof/>
          <w:szCs w:val="24"/>
        </w:rPr>
        <w:drawing>
          <wp:inline distT="0" distB="0" distL="0" distR="0" wp14:anchorId="30BC4013" wp14:editId="3AF5407A">
            <wp:extent cx="200660" cy="2698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A9">
        <w:rPr>
          <w:rFonts w:ascii="Times New Roman" w:hAnsi="Times New Roman"/>
          <w:szCs w:val="24"/>
        </w:rPr>
        <w:t xml:space="preserve"> - количество плательщиков, воспользовавшихся льготой в i-м году;</w:t>
      </w:r>
    </w:p>
    <w:p w14:paraId="4F5480E6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j - порядковый номер плательщика, имеющий значение от 1 до m;</w:t>
      </w:r>
    </w:p>
    <w:p w14:paraId="77E1E120" w14:textId="6FD04388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2A519A">
        <w:rPr>
          <w:rFonts w:ascii="Times New Roman" w:hAnsi="Times New Roman"/>
          <w:noProof/>
          <w:szCs w:val="24"/>
        </w:rPr>
        <w:drawing>
          <wp:inline distT="0" distB="0" distL="0" distR="0" wp14:anchorId="40F2D9DE" wp14:editId="1A176B6A">
            <wp:extent cx="243205" cy="2698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A9">
        <w:rPr>
          <w:rFonts w:ascii="Times New Roman" w:hAnsi="Times New Roman"/>
          <w:szCs w:val="24"/>
        </w:rPr>
        <w:t xml:space="preserve"> - объем налогов, подлежащих уплате в бюджет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="00821774">
        <w:rPr>
          <w:rFonts w:ascii="Times New Roman" w:hAnsi="Times New Roman"/>
          <w:szCs w:val="24"/>
        </w:rPr>
        <w:t xml:space="preserve"> </w:t>
      </w:r>
      <w:r w:rsidR="00821774" w:rsidRPr="00821774">
        <w:rPr>
          <w:rFonts w:ascii="Times New Roman" w:hAnsi="Times New Roman"/>
          <w:szCs w:val="24"/>
        </w:rPr>
        <w:t>Чувашской Республики</w:t>
      </w:r>
      <w:r w:rsidRPr="005B60A9">
        <w:rPr>
          <w:rFonts w:ascii="Times New Roman" w:hAnsi="Times New Roman"/>
          <w:szCs w:val="24"/>
        </w:rPr>
        <w:t xml:space="preserve"> j-м плательщиком в i-м году.</w:t>
      </w:r>
    </w:p>
    <w:p w14:paraId="2F868635" w14:textId="254CE0B5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 xml:space="preserve">При определении объема налогов, задекларированных плательщиками для уплаты в бюджет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="00821774">
        <w:rPr>
          <w:rFonts w:ascii="Times New Roman" w:hAnsi="Times New Roman"/>
          <w:szCs w:val="24"/>
        </w:rPr>
        <w:t xml:space="preserve"> </w:t>
      </w:r>
      <w:r w:rsidR="00821774" w:rsidRPr="00821774">
        <w:rPr>
          <w:rFonts w:ascii="Times New Roman" w:hAnsi="Times New Roman"/>
          <w:szCs w:val="24"/>
        </w:rPr>
        <w:t>Чувашской Республики</w:t>
      </w:r>
      <w:r w:rsidRPr="005B60A9">
        <w:rPr>
          <w:rFonts w:ascii="Times New Roman" w:hAnsi="Times New Roman"/>
          <w:szCs w:val="24"/>
        </w:rPr>
        <w:t xml:space="preserve">, учитываются начисления по налогу на доходы физических лиц, налогу на имущество физических лиц, </w:t>
      </w:r>
      <w:r w:rsidRPr="005B60A9">
        <w:rPr>
          <w:rFonts w:ascii="Times New Roman" w:hAnsi="Times New Roman"/>
          <w:szCs w:val="24"/>
        </w:rPr>
        <w:lastRenderedPageBreak/>
        <w:t>транспортному налогу, налогам, подлежащим уплате в связи с применением специальных налоговых режимов и земельному налогу;</w:t>
      </w:r>
    </w:p>
    <w:p w14:paraId="56D76336" w14:textId="7080CE1E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2A519A">
        <w:rPr>
          <w:rFonts w:ascii="Times New Roman" w:hAnsi="Times New Roman"/>
          <w:noProof/>
          <w:szCs w:val="24"/>
        </w:rPr>
        <w:drawing>
          <wp:inline distT="0" distB="0" distL="0" distR="0" wp14:anchorId="3F9CDFA2" wp14:editId="4AB9D944">
            <wp:extent cx="232410" cy="2698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A9">
        <w:rPr>
          <w:rFonts w:ascii="Times New Roman" w:hAnsi="Times New Roman"/>
          <w:szCs w:val="24"/>
        </w:rPr>
        <w:t xml:space="preserve"> - базовый объем налогов для уплаты в бюджет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="00821774" w:rsidRPr="00821774">
        <w:t xml:space="preserve"> </w:t>
      </w:r>
      <w:r w:rsidR="00821774" w:rsidRPr="00821774">
        <w:rPr>
          <w:rFonts w:ascii="Times New Roman" w:hAnsi="Times New Roman"/>
          <w:szCs w:val="24"/>
        </w:rPr>
        <w:t>Чувашской Республики</w:t>
      </w:r>
      <w:r w:rsidRPr="005B60A9">
        <w:rPr>
          <w:rFonts w:ascii="Times New Roman" w:hAnsi="Times New Roman"/>
          <w:szCs w:val="24"/>
        </w:rPr>
        <w:t xml:space="preserve"> j-м плательщиком в базовом году;</w:t>
      </w:r>
    </w:p>
    <w:p w14:paraId="20060528" w14:textId="062B82F3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2A519A">
        <w:rPr>
          <w:rFonts w:ascii="Times New Roman" w:hAnsi="Times New Roman"/>
          <w:noProof/>
          <w:szCs w:val="24"/>
        </w:rPr>
        <w:drawing>
          <wp:inline distT="0" distB="0" distL="0" distR="0" wp14:anchorId="003C165C" wp14:editId="7A6BE40E">
            <wp:extent cx="153035" cy="2698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A9">
        <w:rPr>
          <w:rFonts w:ascii="Times New Roman" w:hAnsi="Times New Roman"/>
          <w:szCs w:val="24"/>
        </w:rPr>
        <w:t xml:space="preserve"> - темп прироста налоговых доходов бюджета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="00821774" w:rsidRPr="00821774">
        <w:t xml:space="preserve"> </w:t>
      </w:r>
      <w:r w:rsidR="00821774" w:rsidRPr="00821774">
        <w:rPr>
          <w:rFonts w:ascii="Times New Roman" w:hAnsi="Times New Roman"/>
          <w:szCs w:val="24"/>
        </w:rPr>
        <w:t>Чувашской Республики</w:t>
      </w:r>
      <w:r w:rsidRPr="005B60A9">
        <w:rPr>
          <w:rFonts w:ascii="Times New Roman" w:hAnsi="Times New Roman"/>
          <w:szCs w:val="24"/>
        </w:rPr>
        <w:t xml:space="preserve"> в i-м году по отношению к показателям базового года (Темп прироста = (Текущее значение - базовое значение)/ базовое значение);</w:t>
      </w:r>
    </w:p>
    <w:p w14:paraId="220090A5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r - расчетная стоимость среднесрочных рыночных заимствований, которая рассчитывается по формуле:</w:t>
      </w:r>
    </w:p>
    <w:p w14:paraId="0AB9DDDD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17812B8C" w14:textId="1DBB72B7" w:rsidR="005B60A9" w:rsidRPr="005B60A9" w:rsidRDefault="005B60A9" w:rsidP="005B60A9">
      <w:pPr>
        <w:widowControl w:val="0"/>
        <w:autoSpaceDE w:val="0"/>
        <w:autoSpaceDN w:val="0"/>
        <w:adjustRightInd w:val="0"/>
        <w:ind w:firstLine="698"/>
        <w:jc w:val="center"/>
        <w:rPr>
          <w:rFonts w:ascii="Times New Roman" w:hAnsi="Times New Roman"/>
          <w:szCs w:val="24"/>
        </w:rPr>
      </w:pPr>
      <w:r w:rsidRPr="002A519A">
        <w:rPr>
          <w:rFonts w:ascii="Times New Roman" w:hAnsi="Times New Roman"/>
          <w:noProof/>
          <w:szCs w:val="24"/>
        </w:rPr>
        <w:drawing>
          <wp:inline distT="0" distB="0" distL="0" distR="0" wp14:anchorId="1C3265FF" wp14:editId="387C9060">
            <wp:extent cx="962025" cy="2698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A9">
        <w:rPr>
          <w:rFonts w:ascii="Times New Roman" w:hAnsi="Times New Roman"/>
          <w:szCs w:val="24"/>
        </w:rPr>
        <w:t>,</w:t>
      </w:r>
    </w:p>
    <w:p w14:paraId="51705F8B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5F0E2E7C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где:</w:t>
      </w:r>
    </w:p>
    <w:p w14:paraId="3E1A46D4" w14:textId="2743218A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2A519A">
        <w:rPr>
          <w:rFonts w:ascii="Times New Roman" w:hAnsi="Times New Roman"/>
          <w:noProof/>
          <w:szCs w:val="24"/>
        </w:rPr>
        <w:drawing>
          <wp:inline distT="0" distB="0" distL="0" distR="0" wp14:anchorId="547F9F4F" wp14:editId="5432430D">
            <wp:extent cx="290830" cy="2698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A9">
        <w:rPr>
          <w:rFonts w:ascii="Times New Roman" w:hAnsi="Times New Roman"/>
          <w:szCs w:val="24"/>
        </w:rPr>
        <w:t xml:space="preserve"> - целевой уровень инфляции (4,0 процента);</w:t>
      </w:r>
    </w:p>
    <w:p w14:paraId="111C0F8E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р - реальная процентная ставка, определяемая на уровне 2,5 процента;</w:t>
      </w:r>
    </w:p>
    <w:p w14:paraId="7C8D7A92" w14:textId="5A525D05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 xml:space="preserve">с - кредитная премия за риск, рассчитываемая для целей Порядка в зависимости от отношения объема муниципального долга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 по состоянию на 1 января текущего финансового года к объему налоговых и неналоговых доходов бюджета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</w:t>
      </w:r>
      <w:r w:rsidR="00821774" w:rsidRPr="00821774">
        <w:rPr>
          <w:rFonts w:ascii="Times New Roman" w:hAnsi="Times New Roman"/>
          <w:szCs w:val="24"/>
        </w:rPr>
        <w:t xml:space="preserve">Чувашской Республики </w:t>
      </w:r>
      <w:r w:rsidRPr="005B60A9">
        <w:rPr>
          <w:rFonts w:ascii="Times New Roman" w:hAnsi="Times New Roman"/>
          <w:szCs w:val="24"/>
        </w:rPr>
        <w:t>за отчетный период (в случае если указанное отношение составляет менее 50,0 процента, кредитная премия за риск принимается равной 1,0 проценту; в случае если указанное отношение составляет от 50,0 до 100,0 процентов, кредитная премия за риск принимается равной 2,0 процентам; в случае если указанное отношение составляет более 100,0 процентов, кредитная премия за риск принимается равной 3,0 процентам).</w:t>
      </w:r>
    </w:p>
    <w:p w14:paraId="5AA437E3" w14:textId="17258505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 xml:space="preserve">Базовый объем налогов для уплаты в бюджет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</w:t>
      </w:r>
      <w:r w:rsidR="00821774" w:rsidRPr="00821774">
        <w:rPr>
          <w:rFonts w:ascii="Times New Roman" w:hAnsi="Times New Roman"/>
          <w:szCs w:val="24"/>
        </w:rPr>
        <w:t xml:space="preserve">Чувашской Республики </w:t>
      </w:r>
      <w:r w:rsidRPr="005B60A9">
        <w:rPr>
          <w:rFonts w:ascii="Times New Roman" w:hAnsi="Times New Roman"/>
          <w:szCs w:val="24"/>
        </w:rPr>
        <w:t>j-м плательщиком в базовом году (</w:t>
      </w:r>
      <w:proofErr w:type="spellStart"/>
      <w:r w:rsidRPr="005B60A9">
        <w:rPr>
          <w:rFonts w:ascii="Times New Roman" w:hAnsi="Times New Roman"/>
          <w:szCs w:val="24"/>
        </w:rPr>
        <w:t>B</w:t>
      </w:r>
      <w:r w:rsidR="00821774">
        <w:rPr>
          <w:rFonts w:ascii="Times New Roman" w:hAnsi="Times New Roman"/>
          <w:szCs w:val="24"/>
        </w:rPr>
        <w:t>о</w:t>
      </w:r>
      <w:r w:rsidRPr="005B60A9">
        <w:rPr>
          <w:rFonts w:ascii="Times New Roman" w:hAnsi="Times New Roman"/>
          <w:szCs w:val="24"/>
        </w:rPr>
        <w:t>j</w:t>
      </w:r>
      <w:proofErr w:type="spellEnd"/>
      <w:r w:rsidRPr="005B60A9">
        <w:rPr>
          <w:rFonts w:ascii="Times New Roman" w:hAnsi="Times New Roman"/>
          <w:szCs w:val="24"/>
        </w:rPr>
        <w:t>) рассчитывается по формуле:</w:t>
      </w:r>
    </w:p>
    <w:p w14:paraId="42468246" w14:textId="66A33E8D" w:rsidR="005B60A9" w:rsidRPr="005B60A9" w:rsidRDefault="005B60A9" w:rsidP="005B60A9">
      <w:pPr>
        <w:widowControl w:val="0"/>
        <w:autoSpaceDE w:val="0"/>
        <w:autoSpaceDN w:val="0"/>
        <w:adjustRightInd w:val="0"/>
        <w:spacing w:before="75"/>
        <w:ind w:left="170"/>
        <w:jc w:val="both"/>
        <w:rPr>
          <w:rFonts w:ascii="Times New Roman" w:hAnsi="Times New Roman"/>
          <w:color w:val="353842"/>
          <w:szCs w:val="24"/>
          <w:shd w:val="clear" w:color="auto" w:fill="F0F0F0"/>
        </w:rPr>
      </w:pPr>
    </w:p>
    <w:p w14:paraId="26008F66" w14:textId="562A4548" w:rsidR="005B60A9" w:rsidRPr="005B60A9" w:rsidRDefault="005B60A9" w:rsidP="005B60A9">
      <w:pPr>
        <w:widowControl w:val="0"/>
        <w:autoSpaceDE w:val="0"/>
        <w:autoSpaceDN w:val="0"/>
        <w:adjustRightInd w:val="0"/>
        <w:ind w:firstLine="698"/>
        <w:jc w:val="center"/>
        <w:rPr>
          <w:rFonts w:ascii="Times New Roman" w:hAnsi="Times New Roman"/>
          <w:szCs w:val="24"/>
        </w:rPr>
      </w:pPr>
      <w:r w:rsidRPr="002A519A">
        <w:rPr>
          <w:rFonts w:ascii="Times New Roman" w:hAnsi="Times New Roman"/>
          <w:noProof/>
          <w:szCs w:val="24"/>
        </w:rPr>
        <w:drawing>
          <wp:inline distT="0" distB="0" distL="0" distR="0" wp14:anchorId="3F0F805A" wp14:editId="0E61BA07">
            <wp:extent cx="919480" cy="2698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A9">
        <w:rPr>
          <w:rFonts w:ascii="Times New Roman" w:hAnsi="Times New Roman"/>
          <w:szCs w:val="24"/>
        </w:rPr>
        <w:t>,</w:t>
      </w:r>
    </w:p>
    <w:p w14:paraId="7E89F8F8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0E2135C9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где:</w:t>
      </w:r>
    </w:p>
    <w:p w14:paraId="2B1924E1" w14:textId="400766C4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2A519A">
        <w:rPr>
          <w:rFonts w:ascii="Times New Roman" w:hAnsi="Times New Roman"/>
          <w:noProof/>
          <w:szCs w:val="24"/>
        </w:rPr>
        <w:drawing>
          <wp:inline distT="0" distB="0" distL="0" distR="0" wp14:anchorId="50BBD0B0" wp14:editId="5A566902">
            <wp:extent cx="280035" cy="2698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A9">
        <w:rPr>
          <w:rFonts w:ascii="Times New Roman" w:hAnsi="Times New Roman"/>
          <w:szCs w:val="24"/>
        </w:rPr>
        <w:t xml:space="preserve"> - объем налогов для уплаты в бюджет города j-м плательщиком в базовом году;</w:t>
      </w:r>
    </w:p>
    <w:p w14:paraId="7EA8A2CD" w14:textId="7E81A542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2A519A">
        <w:rPr>
          <w:rFonts w:ascii="Times New Roman" w:hAnsi="Times New Roman"/>
          <w:noProof/>
          <w:szCs w:val="24"/>
        </w:rPr>
        <w:drawing>
          <wp:inline distT="0" distB="0" distL="0" distR="0" wp14:anchorId="5041E187" wp14:editId="01AA54BE">
            <wp:extent cx="232410" cy="2698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A9">
        <w:rPr>
          <w:rFonts w:ascii="Times New Roman" w:hAnsi="Times New Roman"/>
          <w:szCs w:val="24"/>
        </w:rPr>
        <w:t xml:space="preserve"> - объем льгот, предоставленных j-</w:t>
      </w:r>
      <w:proofErr w:type="spellStart"/>
      <w:r w:rsidRPr="005B60A9">
        <w:rPr>
          <w:rFonts w:ascii="Times New Roman" w:hAnsi="Times New Roman"/>
          <w:szCs w:val="24"/>
        </w:rPr>
        <w:t>му</w:t>
      </w:r>
      <w:proofErr w:type="spellEnd"/>
      <w:r w:rsidRPr="005B60A9">
        <w:rPr>
          <w:rFonts w:ascii="Times New Roman" w:hAnsi="Times New Roman"/>
          <w:szCs w:val="24"/>
        </w:rPr>
        <w:t xml:space="preserve"> плательщику в базовом году.</w:t>
      </w:r>
    </w:p>
    <w:p w14:paraId="267A9539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Под базовым годом в Порядке понимается год, предшествующий году начала получения j-м плательщиком льготы по налогу, либо 6-й год, предшествующий отчетному году, если льгота предоставляется плательщику более 6 лет.</w:t>
      </w:r>
    </w:p>
    <w:p w14:paraId="47BB8432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Налоговая льгота считается:</w:t>
      </w:r>
    </w:p>
    <w:p w14:paraId="7FCB5FDB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bookmarkStart w:id="16" w:name="sub_2211"/>
      <w:r w:rsidRPr="005B60A9">
        <w:rPr>
          <w:rFonts w:ascii="Times New Roman" w:hAnsi="Times New Roman"/>
          <w:szCs w:val="24"/>
        </w:rPr>
        <w:t>1) неэффективной в случае, если совокупный бюджетный эффект принимает отрицательное значение,</w:t>
      </w:r>
    </w:p>
    <w:p w14:paraId="382951C4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bookmarkStart w:id="17" w:name="sub_2212"/>
      <w:bookmarkEnd w:id="16"/>
      <w:r w:rsidRPr="005B60A9">
        <w:rPr>
          <w:rFonts w:ascii="Times New Roman" w:hAnsi="Times New Roman"/>
          <w:szCs w:val="24"/>
        </w:rPr>
        <w:t>2) эффективной в случае, если совокупный бюджетный эффект принимает положительное значение.</w:t>
      </w:r>
    </w:p>
    <w:p w14:paraId="243293C3" w14:textId="2E1D8FB4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bookmarkStart w:id="18" w:name="sub_222"/>
      <w:bookmarkEnd w:id="17"/>
      <w:r w:rsidRPr="005B60A9">
        <w:rPr>
          <w:rFonts w:ascii="Times New Roman" w:hAnsi="Times New Roman"/>
          <w:szCs w:val="24"/>
        </w:rPr>
        <w:t>2.</w:t>
      </w:r>
      <w:r w:rsidR="003A4C28">
        <w:rPr>
          <w:rFonts w:ascii="Times New Roman" w:hAnsi="Times New Roman"/>
          <w:szCs w:val="24"/>
        </w:rPr>
        <w:t>3</w:t>
      </w:r>
      <w:r w:rsidRPr="005B60A9">
        <w:rPr>
          <w:rFonts w:ascii="Times New Roman" w:hAnsi="Times New Roman"/>
          <w:szCs w:val="24"/>
        </w:rPr>
        <w:t>.2. Оценка вклада налоговой льготы (</w:t>
      </w:r>
      <w:proofErr w:type="spellStart"/>
      <w:r w:rsidRPr="005B60A9">
        <w:rPr>
          <w:rFonts w:ascii="Times New Roman" w:hAnsi="Times New Roman"/>
          <w:szCs w:val="24"/>
        </w:rPr>
        <w:t>Овклад</w:t>
      </w:r>
      <w:proofErr w:type="spellEnd"/>
      <w:r w:rsidRPr="005B60A9">
        <w:rPr>
          <w:rFonts w:ascii="Times New Roman" w:hAnsi="Times New Roman"/>
          <w:szCs w:val="24"/>
        </w:rPr>
        <w:t xml:space="preserve">), обуславливающей налоговый расход, в изменение значения показателя (индикатора) достижения целей муниципальной программы и (или) целей социально-экономического развития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Республики, не относящихся к муниципальным программам,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bookmarkEnd w:id="18"/>
    <w:p w14:paraId="435B6539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24471D31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proofErr w:type="spellStart"/>
      <w:r w:rsidRPr="005B60A9">
        <w:rPr>
          <w:rFonts w:ascii="Times New Roman" w:hAnsi="Times New Roman"/>
          <w:szCs w:val="24"/>
        </w:rPr>
        <w:t>Овклад</w:t>
      </w:r>
      <w:proofErr w:type="spellEnd"/>
      <w:r w:rsidRPr="005B60A9">
        <w:rPr>
          <w:rFonts w:ascii="Times New Roman" w:hAnsi="Times New Roman"/>
          <w:szCs w:val="24"/>
        </w:rPr>
        <w:t xml:space="preserve"> = </w:t>
      </w:r>
      <w:proofErr w:type="spellStart"/>
      <w:r w:rsidRPr="005B60A9">
        <w:rPr>
          <w:rFonts w:ascii="Times New Roman" w:hAnsi="Times New Roman"/>
          <w:szCs w:val="24"/>
        </w:rPr>
        <w:t>Пс</w:t>
      </w:r>
      <w:proofErr w:type="spellEnd"/>
      <w:r w:rsidRPr="005B60A9">
        <w:rPr>
          <w:rFonts w:ascii="Times New Roman" w:hAnsi="Times New Roman"/>
          <w:szCs w:val="24"/>
        </w:rPr>
        <w:t xml:space="preserve">/л - </w:t>
      </w:r>
      <w:proofErr w:type="spellStart"/>
      <w:r w:rsidRPr="005B60A9">
        <w:rPr>
          <w:rFonts w:ascii="Times New Roman" w:hAnsi="Times New Roman"/>
          <w:szCs w:val="24"/>
        </w:rPr>
        <w:t>Пбез</w:t>
      </w:r>
      <w:proofErr w:type="spellEnd"/>
      <w:r w:rsidRPr="005B60A9">
        <w:rPr>
          <w:rFonts w:ascii="Times New Roman" w:hAnsi="Times New Roman"/>
          <w:szCs w:val="24"/>
        </w:rPr>
        <w:t>/л,</w:t>
      </w:r>
    </w:p>
    <w:p w14:paraId="5737A057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14:paraId="0C0F04A6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где</w:t>
      </w:r>
    </w:p>
    <w:p w14:paraId="3731FC04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proofErr w:type="spellStart"/>
      <w:r w:rsidRPr="005B60A9">
        <w:rPr>
          <w:rFonts w:ascii="Times New Roman" w:hAnsi="Times New Roman"/>
          <w:szCs w:val="24"/>
        </w:rPr>
        <w:t>Пс</w:t>
      </w:r>
      <w:proofErr w:type="spellEnd"/>
      <w:r w:rsidRPr="005B60A9">
        <w:rPr>
          <w:rFonts w:ascii="Times New Roman" w:hAnsi="Times New Roman"/>
          <w:szCs w:val="24"/>
        </w:rPr>
        <w:t>/л - значение показателя (индикатора) достижения целей с учетом льгот,</w:t>
      </w:r>
    </w:p>
    <w:p w14:paraId="139E09A3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proofErr w:type="spellStart"/>
      <w:r w:rsidRPr="005B60A9">
        <w:rPr>
          <w:rFonts w:ascii="Times New Roman" w:hAnsi="Times New Roman"/>
          <w:szCs w:val="24"/>
        </w:rPr>
        <w:t>Пбез</w:t>
      </w:r>
      <w:proofErr w:type="spellEnd"/>
      <w:r w:rsidRPr="005B60A9">
        <w:rPr>
          <w:rFonts w:ascii="Times New Roman" w:hAnsi="Times New Roman"/>
          <w:szCs w:val="24"/>
        </w:rPr>
        <w:t>/л - значение показателя (индикатора) достижения целей с учетом льгот.</w:t>
      </w:r>
    </w:p>
    <w:p w14:paraId="30E46012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 xml:space="preserve">Если </w:t>
      </w:r>
      <w:proofErr w:type="spellStart"/>
      <w:proofErr w:type="gramStart"/>
      <w:r w:rsidRPr="005B60A9">
        <w:rPr>
          <w:rFonts w:ascii="Times New Roman" w:hAnsi="Times New Roman"/>
          <w:szCs w:val="24"/>
        </w:rPr>
        <w:t>Овклад</w:t>
      </w:r>
      <w:proofErr w:type="spellEnd"/>
      <w:r w:rsidRPr="005B60A9">
        <w:rPr>
          <w:rFonts w:ascii="Times New Roman" w:hAnsi="Times New Roman"/>
          <w:szCs w:val="24"/>
        </w:rPr>
        <w:t xml:space="preserve"> &gt;</w:t>
      </w:r>
      <w:proofErr w:type="gramEnd"/>
      <w:r w:rsidRPr="005B60A9">
        <w:rPr>
          <w:rFonts w:ascii="Times New Roman" w:hAnsi="Times New Roman"/>
          <w:szCs w:val="24"/>
        </w:rPr>
        <w:t xml:space="preserve"> 0, то льгота считается эффективной, при значении </w:t>
      </w:r>
      <w:proofErr w:type="spellStart"/>
      <w:r w:rsidRPr="005B60A9">
        <w:rPr>
          <w:rFonts w:ascii="Times New Roman" w:hAnsi="Times New Roman"/>
          <w:szCs w:val="24"/>
        </w:rPr>
        <w:t>Овклад</w:t>
      </w:r>
      <w:proofErr w:type="spellEnd"/>
      <w:r w:rsidRPr="005B60A9">
        <w:rPr>
          <w:rFonts w:ascii="Times New Roman" w:hAnsi="Times New Roman"/>
          <w:szCs w:val="24"/>
        </w:rPr>
        <w:t xml:space="preserve"> &lt; 0 или </w:t>
      </w:r>
      <w:proofErr w:type="spellStart"/>
      <w:r w:rsidRPr="005B60A9">
        <w:rPr>
          <w:rFonts w:ascii="Times New Roman" w:hAnsi="Times New Roman"/>
          <w:szCs w:val="24"/>
        </w:rPr>
        <w:t>Овклад</w:t>
      </w:r>
      <w:proofErr w:type="spellEnd"/>
      <w:r w:rsidRPr="005B60A9">
        <w:rPr>
          <w:rFonts w:ascii="Times New Roman" w:hAnsi="Times New Roman"/>
          <w:szCs w:val="24"/>
        </w:rPr>
        <w:t xml:space="preserve"> = 0, то льгота считается неэффективной.</w:t>
      </w:r>
    </w:p>
    <w:p w14:paraId="444672AC" w14:textId="18EA0B2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bookmarkStart w:id="19" w:name="sub_223"/>
      <w:r w:rsidRPr="005B60A9">
        <w:rPr>
          <w:rFonts w:ascii="Times New Roman" w:hAnsi="Times New Roman"/>
          <w:szCs w:val="24"/>
        </w:rPr>
        <w:t>2.</w:t>
      </w:r>
      <w:r w:rsidR="003A4C28">
        <w:rPr>
          <w:rFonts w:ascii="Times New Roman" w:hAnsi="Times New Roman"/>
          <w:szCs w:val="24"/>
        </w:rPr>
        <w:t>3</w:t>
      </w:r>
      <w:r w:rsidRPr="005B60A9">
        <w:rPr>
          <w:rFonts w:ascii="Times New Roman" w:hAnsi="Times New Roman"/>
          <w:szCs w:val="24"/>
        </w:rPr>
        <w:t>.3. Оценка бюджетной эффективности налогового расхода (далее - бюджетная эффективность) представляет собой сравнительный анализ результативности представления льгот и результативности применения альтернативных механизмов достижения целей муниципальной программы.</w:t>
      </w:r>
    </w:p>
    <w:bookmarkEnd w:id="19"/>
    <w:p w14:paraId="5DAA0C0C" w14:textId="34DA05EB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 xml:space="preserve">Сравнительный анализ включает сравнение объемов расходов бюджета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="00821774" w:rsidRPr="00821774">
        <w:t xml:space="preserve"> </w:t>
      </w:r>
      <w:r w:rsidR="00821774" w:rsidRPr="00821774">
        <w:rPr>
          <w:rFonts w:ascii="Times New Roman" w:hAnsi="Times New Roman"/>
          <w:szCs w:val="24"/>
        </w:rPr>
        <w:t>Чувашской Республики</w:t>
      </w:r>
      <w:r w:rsidRPr="005B60A9">
        <w:rPr>
          <w:rFonts w:ascii="Times New Roman" w:hAnsi="Times New Roman"/>
          <w:szCs w:val="24"/>
        </w:rPr>
        <w:t xml:space="preserve"> в случае применения альтернативных механизмов достижения целей и (или) решения задач муниципальной программы и объемов предоставленных льгот (расчет прироста показателя (индикатора) муниципальной программы на 1 рубль налоговых расходов и на 1 рубль расходов бюджета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</w:t>
      </w:r>
      <w:r w:rsidR="00821774" w:rsidRPr="00821774">
        <w:rPr>
          <w:rFonts w:ascii="Times New Roman" w:hAnsi="Times New Roman"/>
          <w:szCs w:val="24"/>
        </w:rPr>
        <w:t xml:space="preserve">Чувашской Республики </w:t>
      </w:r>
      <w:r w:rsidRPr="005B60A9">
        <w:rPr>
          <w:rFonts w:ascii="Times New Roman" w:hAnsi="Times New Roman"/>
          <w:szCs w:val="24"/>
        </w:rPr>
        <w:t>для достижения того же показателя (индикатора) в случае применения альтернативных механизмов).</w:t>
      </w:r>
    </w:p>
    <w:p w14:paraId="5F9D00D9" w14:textId="2B2CBD13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 xml:space="preserve">В качестве альтернативного механизма достижения целей и (или) решения задач муниципальной программы в настоящей Методике учитываются целевые субсидии из бюджета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</w:t>
      </w:r>
      <w:r w:rsidR="00821774" w:rsidRPr="00821774">
        <w:rPr>
          <w:rFonts w:ascii="Times New Roman" w:hAnsi="Times New Roman"/>
          <w:szCs w:val="24"/>
        </w:rPr>
        <w:t xml:space="preserve">Чувашской Республики </w:t>
      </w:r>
      <w:r w:rsidRPr="005B60A9">
        <w:rPr>
          <w:rFonts w:ascii="Times New Roman" w:hAnsi="Times New Roman"/>
          <w:szCs w:val="24"/>
        </w:rPr>
        <w:t>плательщикам, имеющим право на льготы, на укрепление материально-технической базы.</w:t>
      </w:r>
    </w:p>
    <w:p w14:paraId="25367287" w14:textId="7FA22C80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 xml:space="preserve">Альтернативный механизм считается более предпочтительным, если прирост значения показателя (индикатора) достижения целей при предоставлении целевых субсидий из бюджета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</w:t>
      </w:r>
      <w:r w:rsidR="00821774" w:rsidRPr="00821774">
        <w:rPr>
          <w:rFonts w:ascii="Times New Roman" w:hAnsi="Times New Roman"/>
          <w:szCs w:val="24"/>
        </w:rPr>
        <w:t xml:space="preserve">Чувашской Республики </w:t>
      </w:r>
      <w:r w:rsidRPr="005B60A9">
        <w:rPr>
          <w:rFonts w:ascii="Times New Roman" w:hAnsi="Times New Roman"/>
          <w:szCs w:val="24"/>
        </w:rPr>
        <w:t xml:space="preserve">на 1 рубль расходов бюджета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</w:t>
      </w:r>
      <w:r w:rsidR="00821774" w:rsidRPr="00821774">
        <w:rPr>
          <w:rFonts w:ascii="Times New Roman" w:hAnsi="Times New Roman"/>
          <w:szCs w:val="24"/>
        </w:rPr>
        <w:t xml:space="preserve">Чувашской Республики </w:t>
      </w:r>
      <w:r w:rsidRPr="005B60A9">
        <w:rPr>
          <w:rFonts w:ascii="Times New Roman" w:hAnsi="Times New Roman"/>
          <w:szCs w:val="24"/>
        </w:rPr>
        <w:t>(на 1 рубль целевой субсидии) (С) будет больше, чем прирост значения показателя (индикатора) достижения целей на 1 рубль налогового расхода (HP).</w:t>
      </w:r>
    </w:p>
    <w:p w14:paraId="34D47BE3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Налоговый расход не эффективен:</w:t>
      </w:r>
    </w:p>
    <w:p w14:paraId="56A17AF2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proofErr w:type="spellStart"/>
      <w:r w:rsidRPr="005B60A9">
        <w:rPr>
          <w:rFonts w:ascii="Times New Roman" w:hAnsi="Times New Roman"/>
          <w:szCs w:val="24"/>
        </w:rPr>
        <w:t>Пбез</w:t>
      </w:r>
      <w:proofErr w:type="spellEnd"/>
      <w:r w:rsidRPr="005B60A9">
        <w:rPr>
          <w:rFonts w:ascii="Times New Roman" w:hAnsi="Times New Roman"/>
          <w:szCs w:val="24"/>
        </w:rPr>
        <w:t xml:space="preserve">/л, прирост / </w:t>
      </w:r>
      <w:proofErr w:type="gramStart"/>
      <w:r w:rsidRPr="005B60A9">
        <w:rPr>
          <w:rFonts w:ascii="Times New Roman" w:hAnsi="Times New Roman"/>
          <w:szCs w:val="24"/>
        </w:rPr>
        <w:t>С &gt;</w:t>
      </w:r>
      <w:proofErr w:type="gramEnd"/>
      <w:r w:rsidRPr="005B60A9">
        <w:rPr>
          <w:rFonts w:ascii="Times New Roman" w:hAnsi="Times New Roman"/>
          <w:szCs w:val="24"/>
        </w:rPr>
        <w:t xml:space="preserve"> </w:t>
      </w:r>
      <w:proofErr w:type="spellStart"/>
      <w:r w:rsidRPr="005B60A9">
        <w:rPr>
          <w:rFonts w:ascii="Times New Roman" w:hAnsi="Times New Roman"/>
          <w:szCs w:val="24"/>
        </w:rPr>
        <w:t>Пс</w:t>
      </w:r>
      <w:proofErr w:type="spellEnd"/>
      <w:r w:rsidRPr="005B60A9">
        <w:rPr>
          <w:rFonts w:ascii="Times New Roman" w:hAnsi="Times New Roman"/>
          <w:szCs w:val="24"/>
        </w:rPr>
        <w:t>/л, прирост / HP</w:t>
      </w:r>
    </w:p>
    <w:p w14:paraId="0BF67AB2" w14:textId="0B92199F" w:rsidR="005B60A9" w:rsidRPr="005B60A9" w:rsidRDefault="005B60A9" w:rsidP="00821774">
      <w:pPr>
        <w:widowControl w:val="0"/>
        <w:tabs>
          <w:tab w:val="center" w:pos="5037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Налоговый расход эффективен:</w:t>
      </w:r>
      <w:r w:rsidR="00821774">
        <w:rPr>
          <w:rFonts w:ascii="Times New Roman" w:hAnsi="Times New Roman"/>
          <w:szCs w:val="24"/>
        </w:rPr>
        <w:tab/>
      </w:r>
    </w:p>
    <w:p w14:paraId="09CDBDE8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proofErr w:type="spellStart"/>
      <w:r w:rsidRPr="005B60A9">
        <w:rPr>
          <w:rFonts w:ascii="Times New Roman" w:hAnsi="Times New Roman"/>
          <w:szCs w:val="24"/>
        </w:rPr>
        <w:t>Пбез</w:t>
      </w:r>
      <w:proofErr w:type="spellEnd"/>
      <w:r w:rsidRPr="005B60A9">
        <w:rPr>
          <w:rFonts w:ascii="Times New Roman" w:hAnsi="Times New Roman"/>
          <w:szCs w:val="24"/>
        </w:rPr>
        <w:t xml:space="preserve">/л, прирост / С </w:t>
      </w:r>
      <w:proofErr w:type="gramStart"/>
      <w:r w:rsidRPr="005B60A9">
        <w:rPr>
          <w:rFonts w:ascii="Times New Roman" w:hAnsi="Times New Roman"/>
          <w:szCs w:val="24"/>
        </w:rPr>
        <w:t xml:space="preserve">&lt; </w:t>
      </w:r>
      <w:proofErr w:type="spellStart"/>
      <w:r w:rsidRPr="005B60A9">
        <w:rPr>
          <w:rFonts w:ascii="Times New Roman" w:hAnsi="Times New Roman"/>
          <w:szCs w:val="24"/>
        </w:rPr>
        <w:t>Пс</w:t>
      </w:r>
      <w:proofErr w:type="spellEnd"/>
      <w:proofErr w:type="gramEnd"/>
      <w:r w:rsidRPr="005B60A9">
        <w:rPr>
          <w:rFonts w:ascii="Times New Roman" w:hAnsi="Times New Roman"/>
          <w:szCs w:val="24"/>
        </w:rPr>
        <w:t>/л, прирост / HP</w:t>
      </w:r>
    </w:p>
    <w:p w14:paraId="34FB2C72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где</w:t>
      </w:r>
    </w:p>
    <w:p w14:paraId="22E4EFFA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proofErr w:type="spellStart"/>
      <w:r w:rsidRPr="005B60A9">
        <w:rPr>
          <w:rFonts w:ascii="Times New Roman" w:hAnsi="Times New Roman"/>
          <w:szCs w:val="24"/>
        </w:rPr>
        <w:t>Пс</w:t>
      </w:r>
      <w:proofErr w:type="spellEnd"/>
      <w:r w:rsidRPr="005B60A9">
        <w:rPr>
          <w:rFonts w:ascii="Times New Roman" w:hAnsi="Times New Roman"/>
          <w:szCs w:val="24"/>
        </w:rPr>
        <w:t>/л, прирост - прирост значения показателя (индикатора) достижения целей с учетом льгот,</w:t>
      </w:r>
    </w:p>
    <w:p w14:paraId="43D70623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proofErr w:type="spellStart"/>
      <w:r w:rsidRPr="005B60A9">
        <w:rPr>
          <w:rFonts w:ascii="Times New Roman" w:hAnsi="Times New Roman"/>
          <w:szCs w:val="24"/>
        </w:rPr>
        <w:t>Пбез</w:t>
      </w:r>
      <w:proofErr w:type="spellEnd"/>
      <w:r w:rsidRPr="005B60A9">
        <w:rPr>
          <w:rFonts w:ascii="Times New Roman" w:hAnsi="Times New Roman"/>
          <w:szCs w:val="24"/>
        </w:rPr>
        <w:t>/л, прирост - прирост значения показателя (индикатора) достижения целей без учета льгот,</w:t>
      </w:r>
    </w:p>
    <w:p w14:paraId="2B134F06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С - объем целевой субсидии, руб.,</w:t>
      </w:r>
    </w:p>
    <w:p w14:paraId="1ECB58A5" w14:textId="77777777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r w:rsidRPr="005B60A9">
        <w:rPr>
          <w:rFonts w:ascii="Times New Roman" w:hAnsi="Times New Roman"/>
          <w:szCs w:val="24"/>
        </w:rPr>
        <w:t>HP - сумма налогового расхода, руб.</w:t>
      </w:r>
    </w:p>
    <w:p w14:paraId="7A148602" w14:textId="4411A353" w:rsidR="005B60A9" w:rsidRPr="005B60A9" w:rsidRDefault="005B60A9" w:rsidP="005B60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  <w:bookmarkStart w:id="20" w:name="sub_23"/>
      <w:r w:rsidRPr="005B60A9">
        <w:rPr>
          <w:rFonts w:ascii="Times New Roman" w:hAnsi="Times New Roman"/>
          <w:szCs w:val="24"/>
        </w:rPr>
        <w:t>2.</w:t>
      </w:r>
      <w:r w:rsidR="003A4C28">
        <w:rPr>
          <w:rFonts w:ascii="Times New Roman" w:hAnsi="Times New Roman"/>
          <w:szCs w:val="24"/>
        </w:rPr>
        <w:t>4</w:t>
      </w:r>
      <w:r w:rsidRPr="005B60A9">
        <w:rPr>
          <w:rFonts w:ascii="Times New Roman" w:hAnsi="Times New Roman"/>
          <w:szCs w:val="24"/>
        </w:rPr>
        <w:t xml:space="preserve">. По результатам оценки эффективности налогового расхода администрация </w:t>
      </w:r>
      <w:r w:rsidRPr="002A519A">
        <w:rPr>
          <w:rFonts w:ascii="Times New Roman" w:hAnsi="Times New Roman"/>
          <w:szCs w:val="24"/>
        </w:rPr>
        <w:t>Канашского муниципального округа</w:t>
      </w:r>
      <w:r w:rsidRPr="005B60A9">
        <w:rPr>
          <w:rFonts w:ascii="Times New Roman" w:hAnsi="Times New Roman"/>
          <w:szCs w:val="24"/>
        </w:rPr>
        <w:t xml:space="preserve"> Чувашской Республики формирует вывод о необходимости сохранения, уточнения или отмене налоговых льгот, обуславливающих налоговые расходы.</w:t>
      </w:r>
    </w:p>
    <w:bookmarkEnd w:id="20"/>
    <w:p w14:paraId="37E2FFF2" w14:textId="77777777" w:rsidR="005B60A9" w:rsidRPr="002A519A" w:rsidRDefault="005B60A9">
      <w:pPr>
        <w:rPr>
          <w:rFonts w:ascii="Times New Roman" w:hAnsi="Times New Roman"/>
          <w:szCs w:val="24"/>
        </w:rPr>
      </w:pPr>
    </w:p>
    <w:sectPr w:rsidR="005B60A9" w:rsidRPr="002A5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50C7B"/>
    <w:multiLevelType w:val="hybridMultilevel"/>
    <w:tmpl w:val="468AA8C6"/>
    <w:lvl w:ilvl="0" w:tplc="5E7AF286">
      <w:start w:val="1"/>
      <w:numFmt w:val="decimal"/>
      <w:lvlText w:val="%1."/>
      <w:lvlJc w:val="left"/>
      <w:pPr>
        <w:ind w:left="1080" w:hanging="360"/>
      </w:pPr>
      <w:rPr>
        <w:rFonts w:ascii="Times New Roman CYR" w:eastAsia="Times New Roman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6733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4BB"/>
    <w:rsid w:val="00002CCE"/>
    <w:rsid w:val="000049F6"/>
    <w:rsid w:val="000569AE"/>
    <w:rsid w:val="00083272"/>
    <w:rsid w:val="000E0E69"/>
    <w:rsid w:val="001645F8"/>
    <w:rsid w:val="001B784E"/>
    <w:rsid w:val="00242E20"/>
    <w:rsid w:val="002A519A"/>
    <w:rsid w:val="002A7D8C"/>
    <w:rsid w:val="00353BED"/>
    <w:rsid w:val="003A3AE6"/>
    <w:rsid w:val="003A4C28"/>
    <w:rsid w:val="004114BB"/>
    <w:rsid w:val="00416823"/>
    <w:rsid w:val="004467DB"/>
    <w:rsid w:val="004F2231"/>
    <w:rsid w:val="00516737"/>
    <w:rsid w:val="005534EF"/>
    <w:rsid w:val="00564731"/>
    <w:rsid w:val="005B60A9"/>
    <w:rsid w:val="006C3074"/>
    <w:rsid w:val="006C3DAA"/>
    <w:rsid w:val="00741DEE"/>
    <w:rsid w:val="00752BFF"/>
    <w:rsid w:val="007626DE"/>
    <w:rsid w:val="007E4E19"/>
    <w:rsid w:val="00821774"/>
    <w:rsid w:val="0096554E"/>
    <w:rsid w:val="00993301"/>
    <w:rsid w:val="009A1941"/>
    <w:rsid w:val="009F4236"/>
    <w:rsid w:val="00AD3E16"/>
    <w:rsid w:val="00B024BC"/>
    <w:rsid w:val="00B243FB"/>
    <w:rsid w:val="00BA0BC9"/>
    <w:rsid w:val="00BD2C53"/>
    <w:rsid w:val="00C44891"/>
    <w:rsid w:val="00C44E28"/>
    <w:rsid w:val="00CA2346"/>
    <w:rsid w:val="00D32799"/>
    <w:rsid w:val="00D720FE"/>
    <w:rsid w:val="00D82C8E"/>
    <w:rsid w:val="00DB4894"/>
    <w:rsid w:val="00EA1755"/>
    <w:rsid w:val="00EE3081"/>
    <w:rsid w:val="00EE56C1"/>
    <w:rsid w:val="00F90E49"/>
    <w:rsid w:val="00FF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469C1"/>
  <w15:chartTrackingRefBased/>
  <w15:docId w15:val="{4FF0AECD-339C-4F76-BCD1-8363EC7EA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AE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3AE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E30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jpeg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2369</Words>
  <Characters>13507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FIN9</dc:creator>
  <cp:keywords/>
  <dc:description/>
  <cp:lastModifiedBy>FIN4</cp:lastModifiedBy>
  <cp:revision>3</cp:revision>
  <cp:lastPrinted>2025-02-12T12:12:00Z</cp:lastPrinted>
  <dcterms:created xsi:type="dcterms:W3CDTF">2025-02-12T12:11:00Z</dcterms:created>
  <dcterms:modified xsi:type="dcterms:W3CDTF">2025-02-12T12:19:00Z</dcterms:modified>
</cp:coreProperties>
</file>