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8"/>
        <w:gridCol w:w="4637"/>
      </w:tblGrid>
      <w:tr w:rsidR="00DC51C1">
        <w:tc>
          <w:tcPr>
            <w:tcW w:w="5103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C51C1" w:rsidRP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DC51C1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DC51C1">
        <w:tc>
          <w:tcPr>
            <w:tcW w:w="5103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октября 2007 года</w:t>
            </w:r>
          </w:p>
        </w:tc>
        <w:tc>
          <w:tcPr>
            <w:tcW w:w="5103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62</w:t>
            </w:r>
          </w:p>
        </w:tc>
      </w:tr>
    </w:tbl>
    <w:p w:rsidR="00DC51C1" w:rsidRDefault="00DC51C1" w:rsidP="00DC51C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МУНИЦИПАЛЬНОЙ СЛУЖБЕ В ЧУВАШСКОЙ РЕСПУБЛИКЕ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 сентября 2007 года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1. Предмет регулирования настоящего Закона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Настоящим Законом не определяется статус депутатов, членов выборных органов местного самоуправления, выборных должностных лиц местного самоуправления, поскольку указанные лица (далее - лица, замещающие муниципальные должности) не являются муниципальными служащими.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13</w:t>
      </w:r>
      <w:r w:rsidRPr="00DC51C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Порядок заключения договора о целевом обучении с обязательством последующего прохождения муниципальной службы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Договор о целевом обучении с обязательством последующего прохождения муниципальной службы (далее - договор о целевом обучении) заключается на конкурсной основе между органом местного самоуправления и гражданином.</w:t>
      </w:r>
    </w:p>
    <w:p w:rsidR="00666DB6" w:rsidRDefault="00666DB6" w:rsidP="00666D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Договор о целевом обучении с гражданином, осваивающим программы </w:t>
      </w:r>
      <w:proofErr w:type="spellStart"/>
      <w:r>
        <w:rPr>
          <w:rFonts w:ascii="Arial" w:hAnsi="Arial" w:cs="Arial"/>
          <w:sz w:val="20"/>
          <w:szCs w:val="20"/>
        </w:rPr>
        <w:t>бакалавриата</w:t>
      </w:r>
      <w:proofErr w:type="spellEnd"/>
      <w:r>
        <w:rPr>
          <w:rFonts w:ascii="Arial" w:hAnsi="Arial" w:cs="Arial"/>
          <w:sz w:val="20"/>
          <w:szCs w:val="20"/>
        </w:rPr>
        <w:t xml:space="preserve"> и программы </w:t>
      </w:r>
      <w:proofErr w:type="spellStart"/>
      <w:r>
        <w:rPr>
          <w:rFonts w:ascii="Arial" w:hAnsi="Arial" w:cs="Arial"/>
          <w:sz w:val="20"/>
          <w:szCs w:val="20"/>
        </w:rPr>
        <w:t>специалитета</w:t>
      </w:r>
      <w:proofErr w:type="spellEnd"/>
      <w:r>
        <w:rPr>
          <w:rFonts w:ascii="Arial" w:hAnsi="Arial" w:cs="Arial"/>
          <w:sz w:val="20"/>
          <w:szCs w:val="20"/>
        </w:rPr>
        <w:t xml:space="preserve">, заключается не ранее чем через два года после начала обучения и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за один год до окончания обучения в образовательной организации.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о целевом обучении с гражданином, осваивающим программы магистратуры или образовательные программы среднего профессионального образования на базе среднего общего образования, заключается не ранее чем через шесть месяцев после начала обучения и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за один год до окончания обучения в образовательной организации.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о целевом обучении с гражданином, осваивающим образовательные программы среднего профессионального образования на базе основного общего образования, заключается не ранее чем через полтора года после начала обучения и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за один год до окончания обучения в образовательной организации.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В соответствии с Федеральным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договор о целевом обучении может быть заключен с гражданином один раз.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proofErr w:type="gramStart"/>
      <w:r>
        <w:rPr>
          <w:rFonts w:ascii="Arial" w:hAnsi="Arial" w:cs="Arial"/>
          <w:sz w:val="20"/>
          <w:szCs w:val="20"/>
        </w:rPr>
        <w:t>В информации указываются группы и функциональные признаки должностей муниципальной службы, которые подлежат замещению гражданами после окончания обучения, квалификационные требования для замещения этих должностей (требования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</w:t>
      </w:r>
      <w:proofErr w:type="gramEnd"/>
      <w:r>
        <w:rPr>
          <w:rFonts w:ascii="Arial" w:hAnsi="Arial" w:cs="Arial"/>
          <w:sz w:val="20"/>
          <w:szCs w:val="20"/>
        </w:rPr>
        <w:t xml:space="preserve">), перечень документов, представляемых на конкурс в соответствии с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частью 9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место и </w:t>
      </w:r>
      <w:r>
        <w:rPr>
          <w:rFonts w:ascii="Arial" w:hAnsi="Arial" w:cs="Arial"/>
          <w:sz w:val="20"/>
          <w:szCs w:val="20"/>
        </w:rPr>
        <w:lastRenderedPageBreak/>
        <w:t>время их приема, срок, до истечения которого принимаются указанные документы, дата, место и порядок проведения конкурса, а также могут содержаться другие информационные материалы.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22"/>
      <w:bookmarkEnd w:id="0"/>
      <w:r>
        <w:rPr>
          <w:rFonts w:ascii="Arial" w:hAnsi="Arial" w:cs="Arial"/>
          <w:sz w:val="20"/>
          <w:szCs w:val="20"/>
        </w:rPr>
        <w:t>9. Гражданин, изъявивший желание участвовать в конкурсе (далее также - участник конкурса), представляет в орган местного самоуправления: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е) справку образовательной организации, подтверждающую, что гражданин впервые получает высшее или среднее профессиональное образование по очной форме обучения в образовательной организации за счет средств бюджетов бюджетной системы Российской Федерации, а также содержащую информацию об образовательной программе, которую он осваивает (с указанием наименования профессии, специальности или направления подготовки), о результатах прохождения гражданином промежуточных аттестаций в соответствии с учебным планом, о выполнении</w:t>
      </w:r>
      <w:proofErr w:type="gramEnd"/>
      <w:r>
        <w:rPr>
          <w:rFonts w:ascii="Arial" w:hAnsi="Arial" w:cs="Arial"/>
          <w:sz w:val="20"/>
          <w:szCs w:val="20"/>
        </w:rPr>
        <w:t xml:space="preserve"> им обязанностей, предусмотренных уставом и правилами внутреннего распорядка образовательной организации;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Документы, указанные в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части 9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представляются в орган местного самоуправления в течение 21 календарного дня со дня опубликования информации.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В срок не позднее двух календарных дней после дня окончания приема документов на участие в конкурсе подразделением кадровой службы органа местного самоуправления проводится проверка достоверности и полноты представленных документов, указанных в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части 9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</w:t>
      </w:r>
    </w:p>
    <w:p w:rsidR="00666DB6" w:rsidRDefault="00666DB6" w:rsidP="00666D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66DB6" w:rsidRPr="00666DB6" w:rsidRDefault="00666DB6" w:rsidP="00666DB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666DB6">
        <w:rPr>
          <w:rFonts w:ascii="Arial" w:hAnsi="Arial" w:cs="Arial"/>
          <w:sz w:val="20"/>
          <w:szCs w:val="20"/>
        </w:rPr>
        <w:t>12. Конкурс проводится при наличии не менее двух участников конкурса. Конкурс проводится в два этапа.</w:t>
      </w:r>
    </w:p>
    <w:p w:rsidR="00666DB6" w:rsidRPr="00666DB6" w:rsidRDefault="00666DB6" w:rsidP="00666DB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666DB6">
        <w:rPr>
          <w:rFonts w:ascii="Arial" w:hAnsi="Arial" w:cs="Arial"/>
          <w:sz w:val="20"/>
          <w:szCs w:val="20"/>
        </w:rPr>
        <w:t>На первом этапе проведения конкурса не позднее чем через десять календарных дней после окончания приема документов на участие в конкурсе конкурсная комиссия оценивает участников конкурса на основании документов, указанных в части 9 настоящей статьи.</w:t>
      </w:r>
    </w:p>
    <w:p w:rsidR="00666DB6" w:rsidRPr="00666DB6" w:rsidRDefault="00666DB6" w:rsidP="00666DB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666DB6">
        <w:rPr>
          <w:rFonts w:ascii="Arial" w:hAnsi="Arial" w:cs="Arial"/>
          <w:sz w:val="20"/>
          <w:szCs w:val="20"/>
        </w:rPr>
        <w:t>13. Основаниями для отказа в допуске участника конкурса к участию во втором этапе конкурса являются:</w:t>
      </w:r>
    </w:p>
    <w:p w:rsidR="00666DB6" w:rsidRPr="00666DB6" w:rsidRDefault="00666DB6" w:rsidP="00666DB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666DB6">
        <w:rPr>
          <w:rFonts w:ascii="Arial" w:hAnsi="Arial" w:cs="Arial"/>
          <w:sz w:val="20"/>
          <w:szCs w:val="20"/>
        </w:rPr>
        <w:t>б) представление документов, указанных в части 9 настоящей статьи, с нарушением срока, указанного в части 10 настоящей статьи;</w:t>
      </w:r>
    </w:p>
    <w:p w:rsidR="00666DB6" w:rsidRDefault="00666DB6" w:rsidP="00666DB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666DB6">
        <w:rPr>
          <w:rFonts w:ascii="Arial" w:hAnsi="Arial" w:cs="Arial"/>
          <w:sz w:val="20"/>
          <w:szCs w:val="20"/>
        </w:rPr>
        <w:t>в) представление не в полном объеме или с нарушением правил оформления документов, указанных в части 9 настоящей статьи;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14. Результатом первого этапа конкурса является допуск или отказ в допуске участников конкурса к участию во втором этапе конкурса. Решение конкурсной комиссии по итогам первого этапа конкурса оформляется протоколом заседания, который подписывается председательствующим на заседании, секретарем и членами конкурсной комиссии, принявшими участие в заседании, в день проведения первого этапа конкурса. В случае допуска к участию во втором этапе конкурса одного участника конкурса конкурс признается несостоявшимся.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Конкурсной комиссией в день подписания протокола заседания конкурсной комиссии по итогам первого этапа конкурса направляется уведомление в письменной форме гражданам: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19. 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окончания целевого обучения в течение срока, установленного данным договором. 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о целевом обучении, но не более пяти лет.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20. Меры социальной поддержки, предоставляемые гражданину в период обучения, устанавливаются договором о целевом обучении в соответствии с муниципальным правовым актом.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 Граждане, участвовавшие в конкурсе, вправе обжаловать решение конкурсной комиссии в соответствии с законодательством Российской Федерации.</w:t>
      </w:r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51C1" w:rsidRDefault="00DC51C1">
      <w:pPr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DC51C1" w:rsidRDefault="00DC51C1" w:rsidP="00DC51C1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муниципальной службе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Чувашской Республике"</w:t>
      </w:r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РЕЕСТР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ДОЛЖНОСТЕЙ МУНИЦИПАЛЬНОЙ СЛУЖБЫ</w:t>
      </w:r>
    </w:p>
    <w:p w:rsidR="00DC51C1" w:rsidRDefault="00DC51C1" w:rsidP="00DC51C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ЧУВАШСКОЙ РЕСПУБЛИКЕ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&lt;*&gt;</w:t>
        </w:r>
      </w:hyperlink>
    </w:p>
    <w:p w:rsidR="00DC51C1" w:rsidRDefault="00DC51C1" w:rsidP="00DC51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2299"/>
      </w:tblGrid>
      <w:tr w:rsidR="00DC51C1">
        <w:tc>
          <w:tcPr>
            <w:tcW w:w="8649" w:type="dxa"/>
            <w:gridSpan w:val="2"/>
            <w:tcBorders>
              <w:top w:val="single" w:sz="4" w:space="0" w:color="auto"/>
            </w:tcBorders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Раздел I. Перечень должностей в исполнительно-распорядительных органах местного самоуправления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Должности руководителей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Высшая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 </w:t>
            </w: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1-1-1-01 </w:t>
            </w: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Глава администрации района в городском округе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1-1-1-02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Первый заместитель главы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1-1-1-03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Руководитель управы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1-1-1-04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введена </w:t>
            </w:r>
            <w:hyperlink r:id="rId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30.11.2023 N 94)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Заместитель главы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1-1-2-01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Управляющий делами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1-1-2-02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главы администрации района в городском округе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1-1-2-03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Заместитель руководителя управы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1-1-2-04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введена </w:t>
            </w:r>
            <w:hyperlink r:id="rId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30.11.2023 N 94)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 администрации муниципального округа, городского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1-1-3-01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территориального отдела администрации муниципального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1-1-3-02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Квартальный уполномоченный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1-1-3-02 &lt;1&gt;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введена </w:t>
            </w:r>
            <w:hyperlink r:id="rId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30.11.2023 N 94)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администрации муниципального округа, городского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1-1-3-03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управления администрации муниципального округа, городского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1-1-3-04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администрации района в городском округе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1-1-3-05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территориальным сектором администрации муниципального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1-1-3-06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Должности специалистов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 администрации муниципального округа, городского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1-2-2-01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Советник главы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 по работе с молодежью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1-2-3-01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отдела администрации муниципального округа, городского округа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1-2-3-02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отдела администрации района в городском округе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1-2-3-03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Пресс-секретарь главы администрации муниципального округа,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</w:t>
            </w:r>
          </w:p>
        </w:tc>
        <w:tc>
          <w:tcPr>
            <w:tcW w:w="2299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1-2-3-04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введена </w:t>
            </w:r>
            <w:hyperlink r:id="rId1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21.03.2025 N 12)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сектором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1-2-4-01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Позиция исключена. - </w:t>
            </w:r>
            <w:hyperlink r:id="rId1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21.03.2025 N 12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2299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1-2-4-02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 ред. </w:t>
            </w:r>
            <w:hyperlink r:id="rId1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21.03.2025 N 12)</w:t>
            </w:r>
          </w:p>
        </w:tc>
      </w:tr>
      <w:tr w:rsidR="00DC51C1">
        <w:tc>
          <w:tcPr>
            <w:tcW w:w="8649" w:type="dxa"/>
            <w:gridSpan w:val="2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Младшая группа должностей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специалист-эксперт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1-2-5-01</w:t>
            </w:r>
          </w:p>
        </w:tc>
      </w:tr>
      <w:tr w:rsidR="00DC51C1">
        <w:tc>
          <w:tcPr>
            <w:tcW w:w="6350" w:type="dxa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Специалист-эксперт</w:t>
            </w:r>
          </w:p>
        </w:tc>
        <w:tc>
          <w:tcPr>
            <w:tcW w:w="2299" w:type="dxa"/>
            <w:vAlign w:val="bottom"/>
          </w:tcPr>
          <w:p w:rsidR="00DC51C1" w:rsidRDefault="00DC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1-2-5-02</w:t>
            </w:r>
          </w:p>
        </w:tc>
      </w:tr>
    </w:tbl>
    <w:p w:rsidR="00C047D7" w:rsidRDefault="00C047D7"/>
    <w:sectPr w:rsidR="00C047D7" w:rsidSect="002328FC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8FC" w:rsidRDefault="002328FC" w:rsidP="002328FC">
      <w:pPr>
        <w:spacing w:after="0" w:line="240" w:lineRule="auto"/>
      </w:pPr>
      <w:r>
        <w:separator/>
      </w:r>
    </w:p>
  </w:endnote>
  <w:endnote w:type="continuationSeparator" w:id="0">
    <w:p w:rsidR="002328FC" w:rsidRDefault="002328FC" w:rsidP="00232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8FC" w:rsidRDefault="002328FC" w:rsidP="002328FC">
      <w:pPr>
        <w:spacing w:after="0" w:line="240" w:lineRule="auto"/>
      </w:pPr>
      <w:r>
        <w:separator/>
      </w:r>
    </w:p>
  </w:footnote>
  <w:footnote w:type="continuationSeparator" w:id="0">
    <w:p w:rsidR="002328FC" w:rsidRDefault="002328FC" w:rsidP="00232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10618427"/>
      <w:docPartObj>
        <w:docPartGallery w:val="Page Numbers (Top of Page)"/>
        <w:docPartUnique/>
      </w:docPartObj>
    </w:sdtPr>
    <w:sdtContent>
      <w:p w:rsidR="002328FC" w:rsidRPr="002328FC" w:rsidRDefault="002328F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28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28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28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328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28FC" w:rsidRDefault="002328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C1"/>
    <w:rsid w:val="002328FC"/>
    <w:rsid w:val="00666DB6"/>
    <w:rsid w:val="00C047D7"/>
    <w:rsid w:val="00DC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2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28FC"/>
  </w:style>
  <w:style w:type="paragraph" w:styleId="a5">
    <w:name w:val="footer"/>
    <w:basedOn w:val="a"/>
    <w:link w:val="a6"/>
    <w:uiPriority w:val="99"/>
    <w:unhideWhenUsed/>
    <w:rsid w:val="00232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28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2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28FC"/>
  </w:style>
  <w:style w:type="paragraph" w:styleId="a5">
    <w:name w:val="footer"/>
    <w:basedOn w:val="a"/>
    <w:link w:val="a6"/>
    <w:uiPriority w:val="99"/>
    <w:unhideWhenUsed/>
    <w:rsid w:val="00232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2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6975&amp;dst=101252" TargetMode="External"/><Relationship Id="rId13" Type="http://schemas.openxmlformats.org/officeDocument/2006/relationships/hyperlink" Target="https://login.consultant.ru/link/?req=doc&amp;base=RLAW098&amp;n=169947&amp;dst=10002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7004" TargetMode="External"/><Relationship Id="rId12" Type="http://schemas.openxmlformats.org/officeDocument/2006/relationships/hyperlink" Target="https://login.consultant.ru/link/?req=doc&amp;base=RLAW098&amp;n=169947&amp;dst=100018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86913&amp;dst=10002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69947&amp;dst=10001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86913&amp;dst=100017" TargetMode="External"/><Relationship Id="rId10" Type="http://schemas.openxmlformats.org/officeDocument/2006/relationships/hyperlink" Target="https://login.consultant.ru/link/?req=doc&amp;base=RLAW098&amp;n=186975&amp;dst=10125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6975&amp;dst=101255" TargetMode="External"/><Relationship Id="rId14" Type="http://schemas.openxmlformats.org/officeDocument/2006/relationships/hyperlink" Target="https://login.consultant.ru/link/?req=doc&amp;base=RLAW098&amp;n=186913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Шамбулина Светлана Витальевна</cp:lastModifiedBy>
  <cp:revision>2</cp:revision>
  <cp:lastPrinted>2025-09-22T10:25:00Z</cp:lastPrinted>
  <dcterms:created xsi:type="dcterms:W3CDTF">2025-09-22T08:36:00Z</dcterms:created>
  <dcterms:modified xsi:type="dcterms:W3CDTF">2025-09-22T10:27:00Z</dcterms:modified>
</cp:coreProperties>
</file>