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2E99" w14:textId="77777777" w:rsidR="008E5A5E" w:rsidRPr="0044178C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8C">
        <w:rPr>
          <w:rFonts w:ascii="Times New Roman" w:hAnsi="Times New Roman" w:cs="Times New Roman"/>
          <w:b/>
          <w:sz w:val="28"/>
          <w:szCs w:val="28"/>
        </w:rPr>
        <w:t>Категории гражданских дел, подлежащих рассмотрению судом с участием прокурора</w:t>
      </w:r>
    </w:p>
    <w:p w14:paraId="52669B2B" w14:textId="77777777" w:rsidR="008E5A5E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B9690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соответствии с частью 3 статьи 45 Гражданского процессуального кодекса Российской Федерации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настоящим Кодексом и другими федеральными законами, в целях осуществления возложенных на него полномочий.</w:t>
      </w:r>
    </w:p>
    <w:p w14:paraId="65ABF943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 числу иных случаев закон относит следующие исковые заявления:</w:t>
      </w:r>
    </w:p>
    <w:p w14:paraId="11866F36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1) о лишении родительских прав, о восстановлении в родительских правах, об ограничении в родительских правах;</w:t>
      </w:r>
    </w:p>
    <w:p w14:paraId="6D65255C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2) об усыновлении (удочерении) ребенка и их отмене;</w:t>
      </w:r>
    </w:p>
    <w:p w14:paraId="5C5723D8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3) о признании гражданина безвестно отсутствующим или об объявлении гражданина умершим;</w:t>
      </w:r>
    </w:p>
    <w:p w14:paraId="16070531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4) об ограничении дееспособности гражданина, о признании гражданина недееспособным, об ограничении или о лишении несовершеннолетнего в возрасте от четырнадцати до восемнадцати лет права самостоятельно распоряжаться своими доходами;</w:t>
      </w:r>
    </w:p>
    <w:p w14:paraId="265ED59C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5) об объявлении несовершеннолетнего полностью дееспособным (эмансипация);</w:t>
      </w:r>
    </w:p>
    <w:p w14:paraId="1F358CFA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6) требования к страховой компании о возмещении вреда, причиненного жизни или здоровью гражданина в результате имевшего место страхового случая (дорожно-транспортного происшествия);</w:t>
      </w:r>
    </w:p>
    <w:p w14:paraId="646E1B59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7) об изъятии у собственника принадлежащего ему жилого помещения путем выкупа.</w:t>
      </w:r>
    </w:p>
    <w:p w14:paraId="6F1C1EF0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Кроме того, согласно части 4 статьи 45 Гражданского процессуального кодекса Российской Федерации в целях обеспечения законности прокурор по своей инициативе или инициативе суда вступает в дело, рассматриваемое судом, на любой стадии процесса для дачи заключения:</w:t>
      </w:r>
    </w:p>
    <w:p w14:paraId="24DBD5D3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1)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государств;</w:t>
      </w:r>
    </w:p>
    <w:p w14:paraId="20A6C437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2) при рассмотрении судом заявления о выдаче исполнительного листа на принудительное исполнение решения третейского суда, ходатайства о признании и приведении в исполнение решения иностранного суда и иностранного арбитражного решения;</w:t>
      </w:r>
    </w:p>
    <w:p w14:paraId="38C22D2D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3)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</w:t>
      </w:r>
      <w:r w:rsidRPr="00A26D50">
        <w:rPr>
          <w:rFonts w:ascii="Times New Roman" w:hAnsi="Times New Roman" w:cs="Times New Roman"/>
          <w:sz w:val="28"/>
          <w:szCs w:val="28"/>
        </w:rPr>
        <w:lastRenderedPageBreak/>
        <w:t>таможенных правоотношений и законодательством Российской Федерации о таможенном регулировании, а также законодательством, устанавливающим специальные экономические меры, меры воздействия (противодействия) на недружественные действия иностранных государств, и (или) возник из мнимой или притворной сделки, совершенной в указанных целях.</w:t>
      </w:r>
    </w:p>
    <w:p w14:paraId="0C4BDDDC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AF179" w14:textId="77777777" w:rsidR="008E5A5E" w:rsidRPr="00A26D50" w:rsidRDefault="008E5A5E" w:rsidP="008E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8E5A5E" w:rsidRDefault="00437AE4" w:rsidP="008E5A5E"/>
    <w:sectPr w:rsidR="00437AE4" w:rsidRPr="008E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786F77"/>
    <w:rsid w:val="007E2231"/>
    <w:rsid w:val="00825A3D"/>
    <w:rsid w:val="008E5A5E"/>
    <w:rsid w:val="00937547"/>
    <w:rsid w:val="00950F67"/>
    <w:rsid w:val="00A72AD7"/>
    <w:rsid w:val="00B30770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2024-12-27T07:34:00Z</dcterms:created>
  <dcterms:modified xsi:type="dcterms:W3CDTF">2024-12-27T07:34:00Z</dcterms:modified>
</cp:coreProperties>
</file>