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hyperlink r:id="rId11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Приказ Федеральной службы государственной регистрации, кадастра и картографии от 18 ноября 2021 г. N П/0526 "Об установлении Порядка осуществления мониторинга проведения государственной кадастровой оценки, в том числе формы и требований к составлению мотивированного мнения, и перечня полномочий, возложенных Федеральным законом от 3 июля 2016 г. N 237-ФЗ "О государственной кадастровой оценке" на исполнительный орган государственной власти субъекта Российской Федерации, уполномоченный на принятие решения о проведении государственной кадастровой оценки, бюджетное учреждение, созданное субъектом Российской Федерации и наделенное полномочиями, связанными с определением кадастровой стоимости, в отношении которых..."</w:t>
        </w:r>
      </w:hyperlink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В соответствии с </w:t>
      </w:r>
      <w:hyperlink r:id="rId12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13 статьи 9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2021, N 24, ст. 4188), </w:t>
      </w:r>
      <w:hyperlink r:id="rId13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пунктом 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Положения о Федеральной службе государственной регистрации, кадастра и картографии, утвержденного </w:t>
      </w:r>
      <w:hyperlink r:id="rId14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постановлением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Правительства Российской Федерации от 1 июня 2009 г. N 457 (Собрание законодательства Российской Федерации, 2009, N 25, ст. 3052; 2021, N 47, ст. 7848), приказываю: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1" w:name="sub_1"/>
      <w:r>
        <w:rPr>
          <w:rFonts w:ascii="TimesNewRomanCYR" w:hAnsi="TimesNewRomanCYR" w:eastAsia="TimesNewRomanCYR" w:cs="TimesNewRomanCYR"/>
          <w:sz w:val="24"/>
        </w:rPr>
        <w:t xml:space="preserve">Установить: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"/>
      <w:r>
        <w:rPr>
          <w:rFonts w:ascii="TimesNewRomanCYR" w:hAnsi="TimesNewRomanCYR" w:eastAsia="TimesNewRomanCYR" w:cs="TimesNewRomanCYR"/>
          <w:sz w:val="24"/>
        </w:rPr>
        <w:t xml:space="preserve">Порядок осуществления мониторинга проведения государственной кадастровой оценки, требования к составлению мотивированного мнения и перечень полномочий, возложенных Федеральным законом от 3 июля 2016 г. N 237-ФЗ "О государственной кадастровой оценке" на исполнительный орган государственной власти субъекта Российской Федерации, уполномоченный на принятие решения о проведении государственной кадастровой оценки, бюджетное учреждение, созданное субъектом Российской Федерации и наделенное полномочиями, связанными с определением кадастровой стоимости, в отношении которых осуществляется мониторинг проведения государственной кадастровой оценки ();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форму мотивированного мнения ().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right w:w="0" w:type="dxa"/>
        </w:tblCellMar>
      </w:tblPr>
      <w:tblGrid>
        <w:gridCol w:w="6867"/>
        <w:gridCol w:w="3433"/>
      </w:tblGrid>
      <w:tr>
        <w:tc>
          <w:tcPr>
            <w:tcW w:w="6867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Руководитель</w:t>
            </w:r>
          </w:p>
        </w:tc>
        <w:tc>
          <w:tcPr>
            <w:tcW w:w="3433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Style_5"/>
              <w:spacing w:before="0" w:after="0" w:line="240" w:lineRule="auto"/>
              <w:ind w:firstLine="0"/>
              <w:jc w:val="righ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О.А. Скуфинский</w:t>
            </w: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7"/>
        <w:spacing w:before="0" w:after="0" w:line="240" w:lineRule="auto"/>
        <w:ind w:firstLine="0"/>
        <w:jc w:val="left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Зарегистрировано в Минюсте РФ 30 декабря 2021 г.</w:t>
      </w:r>
      <w:r>
        <w:rPr>
          <w:rFonts w:ascii="TimesNewRomanCYR" w:hAnsi="TimesNewRomanCYR" w:eastAsia="TimesNewRomanCYR" w:cs="TimesNewRomanCYR"/>
          <w:sz w:val="24"/>
        </w:rPr>
        <w:br/>
      </w:r>
      <w:r>
        <w:rPr>
          <w:rFonts w:ascii="TimesNewRomanCYR" w:hAnsi="TimesNewRomanCYR" w:eastAsia="TimesNewRomanCYR" w:cs="TimesNewRomanCYR"/>
          <w:sz w:val="24"/>
        </w:rPr>
        <w:t xml:space="preserve">Регистрационный N 66699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2" w:name="sub_10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1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18 ноября 2021 г. N П/0526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"/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Порядок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осуществления мониторинга проведения государственной кадастровой оценки, требования к составлению мотивированного мнения и перечень полномочий, возложенных Федеральным законом от 3 июля 2016 г. N 237-ФЗ "О государственной кадастровой оценке" на исполнительный орган государственной власти субъекта Российской Федерации, уполномоченный на принятие решения о проведении государственной кадастровой оценки, бюджетное учреждение, созданное субъектом Российской Федерации и наделенное полномочиями, связанными с определением кадастровой стоимости, в отношении которых осуществляется мониторинг проведения государственной кадастровой оценки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3" w:name="sub_1001"/>
      <w:r>
        <w:rPr>
          <w:rFonts w:ascii="TimesNewRomanCYR" w:hAnsi="TimesNewRomanCYR" w:eastAsia="TimesNewRomanCYR" w:cs="TimesNewRomanCYR"/>
          <w:sz w:val="24"/>
        </w:rPr>
        <w:t xml:space="preserve">1. Настоящий Порядок определяет правила осуществления мониторинга проведения государственной кадастровой оценки (далее - мониторинг), требования к составлению мотивированного мнения и перечень полномочий, возложенных </w:t>
      </w:r>
      <w:hyperlink r:id="rId15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Федеральным законом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от 3 июля 2016 г. N 237-ФЗ "О государственной кадастровой оценке"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 </w:t>
      </w:r>
      <w:r>
        <w:rPr>
          <w:rFonts w:ascii="TimesNewRomanCYR" w:hAnsi="TimesNewRomanCYR" w:eastAsia="TimesNewRomanCYR" w:cs="TimesNewRomanCYR"/>
          <w:sz w:val="24"/>
        </w:rPr>
        <w:t xml:space="preserve">(далее - Федеральный закон о государственной кадастровой оценке) на исполнительный орган государственной власти субъекта Российской Федерации, уполномоченный на принятие решения о проведении государственной кадастровой оценки (далее - уполномоченный орган субъекта Российской Федерации), бюджетное учреждение, созданное субъектом Российской Федерации и наделенное полномочиями, связанными с определением кадастровой стоимости (далее - бюджетное учреждение), в отношении которых осуществляется мониторинг.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"/>
      <w:bookmarkStart w:id="4" w:name="sub_1002"/>
      <w:r>
        <w:rPr>
          <w:rFonts w:ascii="TimesNewRomanCYR" w:hAnsi="TimesNewRomanCYR" w:eastAsia="TimesNewRomanCYR" w:cs="TimesNewRomanCYR"/>
          <w:sz w:val="24"/>
        </w:rPr>
        <w:t xml:space="preserve">2. Предметом мониторинга являются правильность, полнота и своевременность исполнения полномочий, возложенных </w:t>
      </w:r>
      <w:hyperlink r:id="rId16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Федеральным законом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о государственной кадастровой оценке на уполномоченный орган субъекта Российской Федерации, бюджетное учреждение.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4"/>
      <w:bookmarkStart w:id="5" w:name="sub_1003"/>
      <w:r>
        <w:rPr>
          <w:rFonts w:ascii="TimesNewRomanCYR" w:hAnsi="TimesNewRomanCYR" w:eastAsia="TimesNewRomanCYR" w:cs="TimesNewRomanCYR"/>
          <w:sz w:val="24"/>
        </w:rPr>
        <w:t xml:space="preserve">3. Мониторинг </w:t>
      </w:r>
      <w:hyperlink r:id="rId17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осуществляется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(далее соответственно - ЕГРН, Росреестр).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5"/>
      <w:r>
        <w:rPr>
          <w:rFonts w:ascii="TimesNewRomanCYR" w:hAnsi="TimesNewRomanCYR" w:eastAsia="TimesNewRomanCYR" w:cs="TimesNewRomanCYR"/>
          <w:sz w:val="24"/>
        </w:rPr>
        <w:t xml:space="preserve">В соответствии с решением Росреестра полномочия (часть полномочий) по осуществлению мониторинга могут быть переданы территориальным органам Росреестра (далее - территориальные органы).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6" w:name="sub_1004"/>
      <w:r>
        <w:rPr>
          <w:rFonts w:ascii="TimesNewRomanCYR" w:hAnsi="TimesNewRomanCYR" w:eastAsia="TimesNewRomanCYR" w:cs="TimesNewRomanCYR"/>
          <w:sz w:val="24"/>
        </w:rPr>
        <w:t xml:space="preserve">4. В случае принятия решения, предусмотренного  настоящего Порядка, копия такого решения в течение пяти рабочих дней направляется Росреестром в территориальный орган, уполномоченный орган субъекта Российской Федерации, бюджетное учреждение.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6"/>
      <w:bookmarkStart w:id="7" w:name="sub_1005"/>
      <w:r>
        <w:rPr>
          <w:rFonts w:ascii="TimesNewRomanCYR" w:hAnsi="TimesNewRomanCYR" w:eastAsia="TimesNewRomanCYR" w:cs="TimesNewRomanCYR"/>
          <w:sz w:val="24"/>
        </w:rPr>
        <w:t xml:space="preserve">5. Росреестр ежегодно до 1 марта формирует и направляет в уполномоченный орган субъекта Российской Федерации, бюджетное учреждение уведомление о полномочиях, предусмотренных </w:t>
      </w:r>
      <w:hyperlink r:id="rId18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Федеральным законом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о государственной кадастровой оценке, подлежащих исполнению в соответствующем календарном году, а также о предельных сроках их исполнения.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7"/>
      <w:r>
        <w:rPr>
          <w:rFonts w:ascii="TimesNewRomanCYR" w:hAnsi="TimesNewRomanCYR" w:eastAsia="TimesNewRomanCYR" w:cs="TimesNewRomanCYR"/>
          <w:sz w:val="24"/>
        </w:rPr>
        <w:t xml:space="preserve">Копия уведомления, предусмотренного настоящим пунктом, направляется в территориальные органы в случае передачи в соответствии с  настоящего Порядка таким органам полномочий (части полномочий) по осуществлению мониторинга.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8" w:name="sub_1006"/>
      <w:r>
        <w:rPr>
          <w:rFonts w:ascii="TimesNewRomanCYR" w:hAnsi="TimesNewRomanCYR" w:eastAsia="TimesNewRomanCYR" w:cs="TimesNewRomanCYR"/>
          <w:sz w:val="24"/>
        </w:rPr>
        <w:t xml:space="preserve">6. Периодом, за который проводится мониторинг, является календарный год.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8"/>
      <w:bookmarkStart w:id="9" w:name="sub_1007"/>
      <w:r>
        <w:rPr>
          <w:rFonts w:ascii="TimesNewRomanCYR" w:hAnsi="TimesNewRomanCYR" w:eastAsia="TimesNewRomanCYR" w:cs="TimesNewRomanCYR"/>
          <w:sz w:val="24"/>
        </w:rPr>
        <w:t xml:space="preserve">7. Мониторинг осуществляется Росреестром (территориальным органом) посредством анализа: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9"/>
      <w:bookmarkStart w:id="10" w:name="sub_1071"/>
      <w:r>
        <w:rPr>
          <w:rFonts w:ascii="TimesNewRomanCYR" w:hAnsi="TimesNewRomanCYR" w:eastAsia="TimesNewRomanCYR" w:cs="TimesNewRomanCYR"/>
          <w:sz w:val="24"/>
        </w:rPr>
        <w:t xml:space="preserve">1) сведений и материалов о деятельности либо действиях уполномоченного органа субъекта Российской Федерации, бюджетного учреждения, поступивших и (или) подлежащих направлению в Росреестр, в том числе сроков их направления: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0"/>
      <w:r>
        <w:rPr>
          <w:rFonts w:ascii="TimesNewRomanCYR" w:hAnsi="TimesNewRomanCYR" w:eastAsia="TimesNewRomanCYR" w:cs="TimesNewRomanCYR"/>
          <w:sz w:val="24"/>
        </w:rPr>
        <w:t xml:space="preserve">копии решения о проведении государственной кадастровой оценки, направляемой уполномоченным органом субъекта Российской Федерации в течение тридцати календарных дней со дня принятия соответствующего решения (</w:t>
      </w:r>
      <w:hyperlink r:id="rId19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4 части 8 статьи 11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проекта отчета об итогах государственной кадастровой оценки (далее - отчет) и сведений о месте его размещения в информационно-телекоммуникационной сети "Интернет" (далее - сеть "Интернет"), направляемых бюджетным учреждением в течение трех рабочих дней со дня составления проекта отчета (</w:t>
      </w:r>
      <w:hyperlink r:id="rId20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 9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исправленного проекта отчета, направляемого бюджетным учреждением в течение семи рабочих дней со дня получения уведомления Росреестра (территориального органа) о несоответствии проекта отчета требованиям к отчету (</w:t>
      </w:r>
      <w:hyperlink r:id="rId21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 12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сведений о месте размещения обновленной версии проекта отчета в сети "Интернет", а также содержащихся в нем сведений и материалов, направляемых бюджетным учреждением в течение одного календарного дня со дня размещения обновленной версии проекта отчета на официальном сайте бюджетного учреждения в сети "Интернет" (</w:t>
      </w:r>
      <w:hyperlink r:id="rId22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 25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уведомления о том, что текущая версия проекта отчета считается отчетом, направляемого бюджетным учреждением в течение пяти календарных дней после завершения срока ее размещения в фонде данных государственной кадастровой оценки (</w:t>
      </w:r>
      <w:hyperlink r:id="rId23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 31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отчета и справки, содержащей информацию обо всех неучтенных замечаниях к проекту отчета, связанных с определением кадастровой стоимости (далее - замечания), с обоснованием отказа в их учете или об отсутствии замечаний к текущей версии проекта отчета, направляемых бюджетным учреждением в течение пяти календарных дней после завершения срока размещения текущей версии проекта отчета в фонде данных государственной кадастровой оценки (</w:t>
      </w:r>
      <w:hyperlink r:id="rId24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 32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копии акта об утверждении результатов определения кадастровой стоимости, сведений о датах его официального опубликования и вступления в силу, направляемых уполномоченным органом субъекта Российской Федерации в течение трех рабочих дней со дня вступления в силу соответствующего акта (</w:t>
      </w:r>
      <w:hyperlink r:id="rId25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 5 статьи 15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копии акта о внесении изменений в акт об утверждении результатов определения кадастровой стоимости, сведений о датах его официального опубликования и вступления в силу, сведений об основаниях внесения таких изменений в отношении каждого объекта недвижимости, направляемых уполномоченным органом субъекта Российской Федерации в течение трех рабочих дней со дня вступления в силу соответствующего акта (</w:t>
      </w:r>
      <w:hyperlink r:id="rId26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 6 статьи 15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акта об определении кадастровой стоимости вновь учтенных объектов недвижимости, ранее учтенных объектов недвижимости в случае внесения в ЕГРН сведений о них и объектов недвижимости, в сведения ЕГРН о которых внесены изменения, которые влекут за собой изменение их кадастровой стоимости, направляемого бюджетным учреждением в течение трех рабочих дней со дня определения кадастровой стоимости соответствующих объектов недвижимости (</w:t>
      </w:r>
      <w:hyperlink r:id="rId27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 7 статьи 16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акта об определении кадастровой стоимости, полученной по итогам исправления ошибок, допущенных при определении кадастровой стоимости, если такая кадастровая стоимость определена в порядке, предусмотренном </w:t>
      </w:r>
      <w:hyperlink r:id="rId28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статьей 16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оценке, направляемого бюджетным учреждением в течение трех рабочих дней со дня исправления ошибок, допущенных при определении кадастровой стоимости (</w:t>
      </w:r>
      <w:hyperlink r:id="rId29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2 части 20 статьи 21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копии решения, принятого в отношении заявления об установлении кадастровой стоимости объекта недвижимости в размере его рыночной стоимости и отчета об оценке рыночной стоимости, представленного с соответствующим заявлением, направляемых бюджетным учреждением в течение пяти рабочих дней со дня принятия соответствующего решения (</w:t>
      </w:r>
      <w:hyperlink r:id="rId30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 14 статьи 22.1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11" w:name="sub_1072"/>
      <w:r>
        <w:rPr>
          <w:rFonts w:ascii="TimesNewRomanCYR" w:hAnsi="TimesNewRomanCYR" w:eastAsia="TimesNewRomanCYR" w:cs="TimesNewRomanCYR"/>
          <w:sz w:val="24"/>
        </w:rPr>
        <w:t xml:space="preserve">2) сведений и материалов о деятельности либо действиях уполномоченного органа субъекта Российской Федерации, бюджетного учреждения, подлежащих размещению на официальных сайтах уполномоченного органа субъекта Российской Федерации, бюджетного учреждения в сети "Интернет", в том числе сроков их размещения: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1"/>
      <w:r>
        <w:rPr>
          <w:rFonts w:ascii="TimesNewRomanCYR" w:hAnsi="TimesNewRomanCYR" w:eastAsia="TimesNewRomanCYR" w:cs="TimesNewRomanCYR"/>
          <w:sz w:val="24"/>
        </w:rPr>
        <w:t xml:space="preserve">извещения о принятии решения о проведении государственной кадастровой оценки, а также о приеме бюджетным учреждением документов, содержащих сведения о характеристиках объектов недвижимости, и копии решения о проведении государственной кадастровой оценки, размещаемых на официальном сайте уполномоченного органа субъекта Российской Федерации в течение тридцати календарных дней со дня принятия соответствующего решения (</w:t>
      </w:r>
      <w:hyperlink r:id="rId31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1 части 8 статьи 11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проекта отчета, размещаемого на официальном сайте бюджетного учреждения в течение трех рабочих дней со дня его составления без опубликования информации о таком размещении (</w:t>
      </w:r>
      <w:hyperlink r:id="rId32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 9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исправленного проекта отчета, размещаемого на официальном сайте бюджетного учреждения в течение семи рабочих дней со дня его составления без опубликования информации о таком размещении (</w:t>
      </w:r>
      <w:hyperlink r:id="rId33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 12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извещения о размещении проекта отчета, месте его размещения, о порядке и сроках представления замечаний к проекту отчета, а также об объектах недвижимости, в отношении которых проводится государственная кадастровая оценка, размещаемого на официальном сайте уполномоченного органа субъекта Российской Федерации в течение пяти рабочих дней со дня получения уведомления Росреестра о соответствии проекта отчета требованиям к отчету (</w:t>
      </w:r>
      <w:hyperlink r:id="rId34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1 части 15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обновленной версии проекта отчета и справки с информацией об учтенных и неучтенных замечаниях к проекту отчета с обоснованием отказа в их учете, размещаемых на официальном сайте бюджетного учреждения в течение срока размещения текущей версии проекта отчета в фонде данных государственной кадастровой оценки и пяти календарных дней после завершения срока такого размещения (</w:t>
      </w:r>
      <w:hyperlink r:id="rId35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 24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извещения о принятии акта об утверждении результатов определения кадастровой стоимости, а также о порядке рассмотрения заявлений об исправлении ошибок, допущенных при определении кадастровой стоимости, и копии акта об утверждении результатов определения кадастровой стоимости, размещаемых на официальном сайте уполномоченного органа субъекта Российской Федерации в течение тридцати рабочих дней со дня принятия такого акта (</w:t>
      </w:r>
      <w:hyperlink r:id="rId36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1 части 3 статьи 15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акта об определении кадастровой стоимости вновь учтенных объектов недвижимости, ранее учтенных объектов недвижимости в случае внесения в ЕГРН сведений о них и объектов недвижимости, в сведения ЕГРН о которых внесены изменения, которые влекут за собой изменение их кадастровой стоимости, размещаемого на официальном сайте бюджетного учреждения в течение трех рабочих дней со дня определения кадастровой стоимости соответствующих объектов недвижимости (</w:t>
      </w:r>
      <w:hyperlink r:id="rId37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 7 статьи 16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12" w:name="sub_1008"/>
      <w:r>
        <w:rPr>
          <w:rFonts w:ascii="TimesNewRomanCYR" w:hAnsi="TimesNewRomanCYR" w:eastAsia="TimesNewRomanCYR" w:cs="TimesNewRomanCYR"/>
          <w:sz w:val="24"/>
        </w:rPr>
        <w:t xml:space="preserve">8. К перечню полномочий, возложенных </w:t>
      </w:r>
      <w:hyperlink r:id="rId38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Федеральным законом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о государственной кадастровой оценке на уполномоченный орган субъекта Российской Федерации, в отношении которых осуществляется мониторинг, относятся следующие полномочия: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2"/>
      <w:r>
        <w:rPr>
          <w:rFonts w:ascii="TimesNewRomanCYR" w:hAnsi="TimesNewRomanCYR" w:eastAsia="TimesNewRomanCYR" w:cs="TimesNewRomanCYR"/>
          <w:sz w:val="24"/>
        </w:rPr>
        <w:t xml:space="preserve">принятие решения о проведении государственной кадастровой оценки в соответствии с </w:t>
      </w:r>
      <w:hyperlink r:id="rId39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частями 5-7 статьи 11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размещение извещения о принятии решения о проведении государственной кадастровой оценки, а также о приеме бюджетным учреждением документов, содержащих сведения о характеристиках объектов недвижимости, и копии решения о проведении государственной кадастровой оценки на своем официальном сайте в сети "Интернет" в соответствии с </w:t>
      </w:r>
      <w:hyperlink r:id="rId40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8 статьи 11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направление копии решения о проведении государственной кадастровой оценки в Росреестр для его размещения в фонде данных государственной кадастровой оценки в соответствии с </w:t>
      </w:r>
      <w:hyperlink r:id="rId41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пунктом 4 части 8 статьи 11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размещение извещения о размещении проекта отчета, месте его размещения, о порядке и сроках представления замечаний к проекту отчета, а также об объектах недвижимости, в отношении которых проводится государственная кадастровая оценка, на своем официальном сайте в сети "Интернет" в соответствии с </w:t>
      </w:r>
      <w:hyperlink r:id="rId42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пунктом 1 части 15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утверждение содержащихся в отчете результатов определения кадастровой стоимости путем принятия в соответствии с </w:t>
      </w:r>
      <w:hyperlink r:id="rId43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1 статьи 15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 акта об утверждении результатов определения кадастровой стоимости;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официальное опубликование акта об утверждении результатов определения кадастровой стоимости и размещение извещения о его принятии, а также о порядке рассмотрения заявлений об исправлении ошибок, допущенных при определении кадастровой стоимости, на своем официальном сайте в сети "Интернет" в соответствии с </w:t>
      </w:r>
      <w:hyperlink r:id="rId44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пунктом 1 части 3 статьи 15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направление в Росреестр в соответствии с </w:t>
      </w:r>
      <w:hyperlink r:id="rId45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5 статьи 15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 копии акта об утверждении результатов определения кадастровой стоимости, включая сведения о датах его официального опубликования и вступления в силу;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направление в Росреестр в соответствии с </w:t>
      </w:r>
      <w:hyperlink r:id="rId46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6 статьи 15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 копии акта о внесении изменений в акт об утверждении результатов определения кадастровой стоимости, включая сведения о датах его официального опубликования и вступления в силу, а также сведений об основаниях внесения таких изменений в отношении каждого объекта недвижимости.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13" w:name="sub_1009"/>
      <w:r>
        <w:rPr>
          <w:rFonts w:ascii="TimesNewRomanCYR" w:hAnsi="TimesNewRomanCYR" w:eastAsia="TimesNewRomanCYR" w:cs="TimesNewRomanCYR"/>
          <w:sz w:val="24"/>
        </w:rPr>
        <w:t xml:space="preserve">9. К перечню полномочий, возложенных </w:t>
      </w:r>
      <w:hyperlink r:id="rId47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Федеральным законом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о государственной кадастровой оценке на бюджетное учреждение, в отношении которых осуществляется мониторинг, относятся следующие полномочия: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3"/>
      <w:r>
        <w:rPr>
          <w:rFonts w:ascii="TimesNewRomanCYR" w:hAnsi="TimesNewRomanCYR" w:eastAsia="TimesNewRomanCYR" w:cs="TimesNewRomanCYR"/>
          <w:sz w:val="24"/>
        </w:rPr>
        <w:t xml:space="preserve">размещение проекта отчета на своем официальном сайте в сети "Интернет" без опубликования информации о таком размещении, а также направление в Росреестр проекта отчета и сведений о месте его размещения в соответствии с </w:t>
      </w:r>
      <w:hyperlink r:id="rId48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9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размещение исправленного проекта отчета на своем официальном сайте в сети "Интернет" без опубликования информации о таком размещении, а также направление в Росреестр исправленного проекта отчета в соответствии с </w:t>
      </w:r>
      <w:hyperlink r:id="rId49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12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размещение обновленной версии проекта отчета и справки с информацией об учтенных и неучтенных замечаниях к проекту отчета с обоснованием отказа в их учете на своем официальном сайте в сети "Интернет" в соответствии с </w:t>
      </w:r>
      <w:hyperlink r:id="rId50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24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направление в Росреестр сведений о месте размещения обновленной версии проекта отчета, а также содержащихся в нем сведений и материалов в объеме, предусмотренном </w:t>
      </w:r>
      <w:hyperlink r:id="rId51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Порядком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ведения фонда данных государственной кадастровой оценки, утвержденным </w:t>
      </w:r>
      <w:hyperlink r:id="rId52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приказом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Росреестра от 6 августа 2020 г. N П/0278 (зарегистрирован Минюстом России 15 сентября 2020 г., регистрационный N 59860), в соответствии с </w:t>
      </w:r>
      <w:hyperlink r:id="rId53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25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направление в Росреестр в соответствии с </w:t>
      </w:r>
      <w:hyperlink r:id="rId54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31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 уведомления о том, что текущая версия проекта отчета считается отчетом;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составление в соответствии с </w:t>
      </w:r>
      <w:hyperlink r:id="rId55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32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 справки, содержащей информацию обо всех неучтенных замечаниях к проекту отчета, с обоснованием отказа в их учете или об отсутствии замечаний к текущей версии проекта отчета, а также направление в Росреестр такой справки и отчета на электронном носителе;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определение кадастровой стоимости вновь учтенных объектов недвижимости, ранее учтенных объектов недвижимости в случае внесения в ЕГРН сведений о них и объектов недвижимости, в сведения ЕГРН о которых внесены изменения, которые влекут за собой изменение их кадастровой стоимости, в срок, установленный </w:t>
      </w:r>
      <w:hyperlink r:id="rId56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4 статьи 16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определение кадастровой стоимости вновь учтенных, ранее учтенных в ЕГРН объектов недвижимости, в сведения ЕГРН о 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оценки, в срок, установленный </w:t>
      </w:r>
      <w:hyperlink r:id="rId57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5 статьи 16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размещение в соответствии с </w:t>
      </w:r>
      <w:hyperlink r:id="rId58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7 статьи 16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 акта об определении кадастровой стоимости на своем официальном сайте в сети "Интернет" и направление в Росреестр такого акта;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направление в Росреестр в соответствии с </w:t>
      </w:r>
      <w:hyperlink r:id="rId59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пунктом 2 части 20 статьи 21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 акта об определении кадастровой стоимости в порядке, предусмотренном </w:t>
      </w:r>
      <w:hyperlink r:id="rId60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статьей 16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направление в Росреестр в соответствии с </w:t>
      </w:r>
      <w:hyperlink r:id="rId61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14 статьи 22.1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 копии решения, принятого в отношении заявления об установлении кадастровой стоимости объекта недвижимости в размере его рыночной стоимости, а также отчета об оценке рыночной стоимости, представленного с соответствующим заявлением.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14" w:name="sub_1010"/>
      <w:r>
        <w:rPr>
          <w:rFonts w:ascii="TimesNewRomanCYR" w:hAnsi="TimesNewRomanCYR" w:eastAsia="TimesNewRomanCYR" w:cs="TimesNewRomanCYR"/>
          <w:sz w:val="24"/>
        </w:rPr>
        <w:t xml:space="preserve">10. При осуществлении мониторинга Росреестр (территориальный орган) вправе истребовать у уполномоченного органа субъекта Российской Федерации, бюджетного учреждения необходимые сведения, материалы и пояснения, связанные с правильностью, полнотой и своевременностью исполнения ими полномочий, предусмотренных  и  настоящего Порядка.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4"/>
      <w:bookmarkStart w:id="15" w:name="sub_1011"/>
      <w:r>
        <w:rPr>
          <w:rFonts w:ascii="TimesNewRomanCYR" w:hAnsi="TimesNewRomanCYR" w:eastAsia="TimesNewRomanCYR" w:cs="TimesNewRomanCYR"/>
          <w:sz w:val="24"/>
        </w:rPr>
        <w:t xml:space="preserve">11. Сведения, материалы и пояснения, которые были истребованы в соответствии с  настоящего Порядка, представляются уполномоченным органом субъекта Российской Федерации, бюджетным учреждением в течение пятнадцати дней со дня получения соответствующего требования.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5"/>
      <w:bookmarkStart w:id="16" w:name="sub_1012"/>
      <w:r>
        <w:rPr>
          <w:rFonts w:ascii="TimesNewRomanCYR" w:hAnsi="TimesNewRomanCYR" w:eastAsia="TimesNewRomanCYR" w:cs="TimesNewRomanCYR"/>
          <w:sz w:val="24"/>
        </w:rPr>
        <w:t xml:space="preserve">12. В случае если при осуществлении мониторинга Росреестром (территориальным органом) установлен факт, свидетельствующий о неправильном, неполном или несвоевременном исполнении полномочий, в отношении которых осуществляется мониторинг, Росреестром (территориальным органом) составляется мотивированное мнение.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6"/>
      <w:r>
        <w:rPr>
          <w:rFonts w:ascii="TimesNewRomanCYR" w:hAnsi="TimesNewRomanCYR" w:eastAsia="TimesNewRomanCYR" w:cs="TimesNewRomanCYR"/>
          <w:sz w:val="24"/>
        </w:rPr>
        <w:t xml:space="preserve">В отношении одного установленного факта, свидетельствующего о неправильном, неполном или несвоевременном исполнении полномочий, в отношении которых осуществляется мониторинг, Росреестром (территориальным органом) составляется одно мотивированное мнение.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17" w:name="sub_1013"/>
      <w:r>
        <w:rPr>
          <w:rFonts w:ascii="TimesNewRomanCYR" w:hAnsi="TimesNewRomanCYR" w:eastAsia="TimesNewRomanCYR" w:cs="TimesNewRomanCYR"/>
          <w:sz w:val="24"/>
        </w:rPr>
        <w:t xml:space="preserve">13. Мотивированное мнение составляется Росреестром (территориальным органом) в соответствии с  и требованиями к составлению мотивированного мнения.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7"/>
      <w:bookmarkStart w:id="18" w:name="sub_1014"/>
      <w:r>
        <w:rPr>
          <w:rFonts w:ascii="TimesNewRomanCYR" w:hAnsi="TimesNewRomanCYR" w:eastAsia="TimesNewRomanCYR" w:cs="TimesNewRomanCYR"/>
          <w:sz w:val="24"/>
        </w:rPr>
        <w:t xml:space="preserve">14. Мотивированное мнение направляется в уполномоченный орган субъекта Российской Федерации, бюджетное учреждение в течение пяти дней со дня его составления.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8"/>
      <w:r>
        <w:rPr>
          <w:rFonts w:ascii="TimesNewRomanCYR" w:hAnsi="TimesNewRomanCYR" w:eastAsia="TimesNewRomanCYR" w:cs="TimesNewRomanCYR"/>
          <w:sz w:val="24"/>
        </w:rPr>
        <w:t xml:space="preserve">Мотивированное мнение направляется Росреестром (территориальным органом) с сопроводительным письмом почтовым отправлением в случае, если такое мотивированное мнение составлено на бумажном носителе, либо по адресам электронной почты в случае, если мотивированное мнение составлено в форме электронного документа.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19" w:name="sub_1015"/>
      <w:r>
        <w:rPr>
          <w:rFonts w:ascii="TimesNewRomanCYR" w:hAnsi="TimesNewRomanCYR" w:eastAsia="TimesNewRomanCYR" w:cs="TimesNewRomanCYR"/>
          <w:sz w:val="24"/>
        </w:rPr>
        <w:t xml:space="preserve">15. Мотивированное мнение должно соответствовать следующим требованиям к его составлению: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9"/>
      <w:bookmarkStart w:id="20" w:name="sub_10151"/>
      <w:r>
        <w:rPr>
          <w:rFonts w:ascii="TimesNewRomanCYR" w:hAnsi="TimesNewRomanCYR" w:eastAsia="TimesNewRomanCYR" w:cs="TimesNewRomanCYR"/>
          <w:sz w:val="24"/>
        </w:rPr>
        <w:t xml:space="preserve">15.1. Мотивированное мнение должно отражать позицию Росреестра (территориального органа) относительно правильности, полноты и своевременности подготовки документов (проектов документов) и исполнения полномочий, возложенных </w:t>
      </w:r>
      <w:hyperlink r:id="rId62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Федеральным законом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о государственной кадастровой оценке на уполномоченный орган субъекта Российской Федерации, бюджетное учреждение, и содержать: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0"/>
      <w:r>
        <w:rPr>
          <w:rFonts w:ascii="TimesNewRomanCYR" w:hAnsi="TimesNewRomanCYR" w:eastAsia="TimesNewRomanCYR" w:cs="TimesNewRomanCYR"/>
          <w:sz w:val="24"/>
        </w:rPr>
        <w:t xml:space="preserve">сведения о проводимом мониторинге;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дату и номер мотивированного мнения;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обстоятельства, наличие которых послужило причиной подготовки мотивированного мнения;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позицию Росреестра (территориального органа) по вопросам правильности, полноты и своевременности исполнения полномочий уполномоченным органом субъекта Российской Федерации, бюджетным учреждением с указанием ссылок на нормативные правовые акты, положения которых были нарушены и которые являются основанием для составления мотивированного мнения и (или) обосновывают позицию Росреестра (территориального органа);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выводы Росреестра (территориального органа) в отношении установленных фактов, свидетельствующих о неправильном, неполном или несвоевременном исполнении полномочий уполномоченным органом субъекта Российской Федерации, бюджетным учреждением.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21" w:name="sub_10152"/>
      <w:r>
        <w:rPr>
          <w:rFonts w:ascii="TimesNewRomanCYR" w:hAnsi="TimesNewRomanCYR" w:eastAsia="TimesNewRomanCYR" w:cs="TimesNewRomanCYR"/>
          <w:sz w:val="24"/>
        </w:rPr>
        <w:t xml:space="preserve">15.2.  составляется на русском языке в форме документа на бумажном носителе или в форме электронного документа и идентифицируется номером, имеющим следующую структуру: СС-ННН-ГГГГ/РР, где СС - две цифры, соответствующие номеру субъекта Российской Федерации, в уполномоченный орган или бюджетное учреждение которого будет направлено мотивированное мнение, ННН - три цифры, соответствующие порядковому номеру мотивированного мнения в календарном году, за который проводится мониторинг, ГГГГ - четыре цифры, соответствующие году составления мотивированного мнения, РР - обозначение структурного подразделения Росреестра (территориального органа), подготовившего мотивированное мнение: в случае составления мотивированного мнения структурным подразделением центрального аппарата Росреестра указываются буквы "ЦА", в случае составления мотивированного мнения территориальным органом указываются буквы "ТО".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1"/>
      <w:r>
        <w:rPr>
          <w:rFonts w:ascii="TimesNewRomanCYR" w:hAnsi="TimesNewRomanCYR" w:eastAsia="TimesNewRomanCYR" w:cs="TimesNewRomanCYR"/>
          <w:sz w:val="24"/>
        </w:rPr>
        <w:t xml:space="preserve">В случае внесения изменений в мотивированное мнение в соответствии с  настоящего Порядка номер измененного мотивированного мнения представляет собой номер изменяемого мотивированного мнения с постфиксом "изм".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22" w:name="sub_10153"/>
      <w:r>
        <w:rPr>
          <w:rFonts w:ascii="TimesNewRomanCYR" w:hAnsi="TimesNewRomanCYR" w:eastAsia="TimesNewRomanCYR" w:cs="TimesNewRomanCYR"/>
          <w:sz w:val="24"/>
        </w:rPr>
        <w:t xml:space="preserve">15.3. В случае составления мотивированного мнения на бумажном носителе оно составляется в двух экземплярах, один из которых направляется в уполномоченный орган субъекта Российской Федерации и бюджетное учреждение, второй хранится в Росреестре (территориальном органе). Каждый экземпляр мотивированного мнения имеет сквозную нумерацию страниц. Экземпляру мотивированного мнения на бумажном носителе, направляемому в уполномоченный орган субъекта Российской Федерации, бюджетное учреждение, присваивается номер "1", экземпляру мотивированного мнения, подлежащему хранению в Росреестре (территориальном органе), присваивается номер "2".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2"/>
      <w:r>
        <w:rPr>
          <w:rFonts w:ascii="TimesNewRomanCYR" w:hAnsi="TimesNewRomanCYR" w:eastAsia="TimesNewRomanCYR" w:cs="TimesNewRomanCYR"/>
          <w:sz w:val="24"/>
        </w:rPr>
        <w:t xml:space="preserve">В случае составления мотивированного мнения в форме электронного документа в  "Экз. N" формы мотивированного мнения указывается "ед. экз.".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23" w:name="sub_10154"/>
      <w:r>
        <w:rPr>
          <w:rFonts w:ascii="TimesNewRomanCYR" w:hAnsi="TimesNewRomanCYR" w:eastAsia="TimesNewRomanCYR" w:cs="TimesNewRomanCYR"/>
          <w:sz w:val="24"/>
        </w:rPr>
        <w:t xml:space="preserve">15.4. При составлении мотивированного мнения: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3"/>
      <w:r>
        <w:rPr>
          <w:rFonts w:ascii="TimesNewRomanCYR" w:hAnsi="TimesNewRomanCYR" w:eastAsia="TimesNewRomanCYR" w:cs="TimesNewRomanCYR"/>
          <w:sz w:val="24"/>
        </w:rPr>
        <w:t xml:space="preserve">в  "Наименование органа, уполномоченного на осуществление мониторинга проведения государственной кадастровой оценки, составившего мотивированное мнение" формы мотивированного мнения указывается полное наименование Росреестра (территориального органа);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в  "Период, за который проводится мониторинг проведения государственной кадастровой оценки" формы мотивированного мнения указывается календарный год в формате "ГГГГ год", соответствующий периоду, за который проводится мониторинг;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в  "Основание составления мотивированного мнения" формы мотивированного мнения указываются ссылки на положения </w:t>
      </w:r>
      <w:hyperlink r:id="rId63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Федерального закона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о государственной кадастровой оценке, которые были нарушены уполномоченным органом субъекта Российской Федерации, бюджетным учреждением;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в  "Позиция по вопросам правильности, полноты и своевременности исполнения полномочий, возложенных Федеральным законом от 3 июля 2016 г. N 237-ФЗ "О государственной кадастровой оценке" на уполномоченный орган субъекта Российской Федерации, бюджетное учреждение, с указанием ссылок на соответствующие нормы законодательства Российской Федерации" формы мотивированного мнения указываются обстоятельства, наличие которых послужило причиной подготовки мотивированного мнения, и позиция Росреестра (территориального органа) по вопросам правильности, полноты и своевременности исполнения полномочий уполномоченным органом субъекта Российской Федерации, бюджетным учреждением, с указанием ссылок на положения </w:t>
      </w:r>
      <w:hyperlink r:id="rId64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Федерального закона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о государственной кадастровой оценке, которые были нарушены уполномоченным органом субъекта Российской Федерации, бюджетным учреждением;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в  "Выводы в отношении установленных фактов, свидетельствующих о неправильном, неполном или несвоевременном исполнении полномочий уполномоченным органом субъекта Российской Федерации, бюджетным учреждением" формы мотивированного мнения указываются выводы Росреестра (территориального органа) в отношении установленных фактов, свидетельствующих о неправильном, неполном или несвоевременном исполнении полномочий уполномоченным органом субъекта Российской Федерации, бюджетным учреждением;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в  "Сведения, материалы и пояснения, истребованные в соответствии с </w:t>
      </w:r>
      <w:hyperlink r:id="rId65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4 статьи 9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от 3 июля 2016 г. N 237-ФЗ "О государственной кадастровой оценке" формы мотивированного мнения указываются сведения, материалы и пояснения, истребованные Росреестром (территориальным органом) в соответствии с  настоящего Порядка;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мотивированное мнение подписывается начальником структурного подразделения Росреестра, уполномоченного на проведение мониторинга, или руководителем (уполномоченным заместителем руководителя) территориального органа.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24" w:name="sub_1016"/>
      <w:r>
        <w:rPr>
          <w:rFonts w:ascii="TimesNewRomanCYR" w:hAnsi="TimesNewRomanCYR" w:eastAsia="TimesNewRomanCYR" w:cs="TimesNewRomanCYR"/>
          <w:sz w:val="24"/>
        </w:rPr>
        <w:t xml:space="preserve">16. Мотивированное мнение составляется в течение десяти рабочих дней со дня выявления факта, свидетельствующего о неправильном, неполном или несвоевременном исполнении полномочий уполномоченным органом субъекта Российской Федерации, бюджетным учреждением, в отношении которых осуществляется мониторинг.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4"/>
      <w:bookmarkStart w:id="25" w:name="sub_1017"/>
      <w:r>
        <w:rPr>
          <w:rFonts w:ascii="TimesNewRomanCYR" w:hAnsi="TimesNewRomanCYR" w:eastAsia="TimesNewRomanCYR" w:cs="TimesNewRomanCYR"/>
          <w:sz w:val="24"/>
        </w:rPr>
        <w:t xml:space="preserve">17. Мотивированное мнение является обязательным для исполнения уполномоченным органом субъекта Российской Федерации, бюджетным учреждением, за исключением следующих случаев: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5"/>
      <w:r>
        <w:rPr>
          <w:rFonts w:ascii="TimesNewRomanCYR" w:hAnsi="TimesNewRomanCYR" w:eastAsia="TimesNewRomanCYR" w:cs="TimesNewRomanCYR"/>
          <w:sz w:val="24"/>
        </w:rPr>
        <w:t xml:space="preserve">мотивированное мнение основано на сведениях, материалах и пояснениях, предусмотренных  настоящего Порядка, содержащих неполную или недостоверную информацию, представленную уполномоченным органом субъекта Российской Федерации, бюджетным учреждением;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нормы законодательства Российской Федерации и нормативных правовых актов, на основании которых составлено мотивированное мнение, утратили силу (изменены);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уполномоченным органом субъекта Российской Федерации, бюджетным учреждением в соответствии с  настоящего Порядка направлены возражения в связи с несогласием с мотивированным мнением.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26" w:name="sub_1018"/>
      <w:r>
        <w:rPr>
          <w:rFonts w:ascii="TimesNewRomanCYR" w:hAnsi="TimesNewRomanCYR" w:eastAsia="TimesNewRomanCYR" w:cs="TimesNewRomanCYR"/>
          <w:sz w:val="24"/>
        </w:rPr>
        <w:t xml:space="preserve">18. Уполномоченный орган субъекта Российской Федерации, бюджетное учреждение учитывают изложенную в мотивированном мнении позицию Росреестра (территориального органа) в тридцатидневный срок со дня его получения.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6"/>
      <w:bookmarkStart w:id="27" w:name="sub_1019"/>
      <w:r>
        <w:rPr>
          <w:rFonts w:ascii="TimesNewRomanCYR" w:hAnsi="TimesNewRomanCYR" w:eastAsia="TimesNewRomanCYR" w:cs="TimesNewRomanCYR"/>
          <w:sz w:val="24"/>
        </w:rPr>
        <w:t xml:space="preserve">19. В течение срока, установленного  настоящего Порядка, уполномоченный орган субъекта Российской Федерации, бюджетное учреждение направляют информацию об устранении факта, свидетельствующего о неправильном, неполном или несвоевременном исполнении полномочий, в отношении которых осуществляется мониторинг, в Росреестр (территориальный орган).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7"/>
      <w:bookmarkStart w:id="28" w:name="sub_1020"/>
      <w:r>
        <w:rPr>
          <w:rFonts w:ascii="TimesNewRomanCYR" w:hAnsi="TimesNewRomanCYR" w:eastAsia="TimesNewRomanCYR" w:cs="TimesNewRomanCYR"/>
          <w:sz w:val="24"/>
        </w:rPr>
        <w:t xml:space="preserve">20. Уполномоченный орган субъекта Российской Федерации, бюджетное учреждение в случае несогласия с мотивированным мнением в десятидневный срок со дня получения такого мотивированного мнения вправе направить в Росреестр (территориальный орган) возражения.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8"/>
      <w:bookmarkStart w:id="29" w:name="sub_1021"/>
      <w:r>
        <w:rPr>
          <w:rFonts w:ascii="TimesNewRomanCYR" w:hAnsi="TimesNewRomanCYR" w:eastAsia="TimesNewRomanCYR" w:cs="TimesNewRomanCYR"/>
          <w:sz w:val="24"/>
        </w:rPr>
        <w:t xml:space="preserve">21. Росреестр (территориальный орган) в десятидневный срок со дня получения возражений, предусмотренных  настоящего Порядка, обязан: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9"/>
      <w:bookmarkStart w:id="30" w:name="sub_10211"/>
      <w:r>
        <w:rPr>
          <w:rFonts w:ascii="TimesNewRomanCYR" w:hAnsi="TimesNewRomanCYR" w:eastAsia="TimesNewRomanCYR" w:cs="TimesNewRomanCYR"/>
          <w:sz w:val="24"/>
        </w:rPr>
        <w:t xml:space="preserve">1) в случае согласия с доводами, приведенными в таких возражениях, внести изменения в мотивированное мнение или отказаться от мотивированного мнения, в случае несогласия с приведенными в возражениях доводами оставить мотивированное мнение без изменений;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0"/>
      <w:bookmarkStart w:id="31" w:name="sub_10212"/>
      <w:r>
        <w:rPr>
          <w:rFonts w:ascii="TimesNewRomanCYR" w:hAnsi="TimesNewRomanCYR" w:eastAsia="TimesNewRomanCYR" w:cs="TimesNewRomanCYR"/>
          <w:sz w:val="24"/>
        </w:rPr>
        <w:t xml:space="preserve">2) уведомить уполномоченный орган субъекта Российской Федерации, бюджетное учреждение, направившие возражения, о принятом решении с приложением мотивированного мнения в случае внесения в него изменений.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1"/>
      <w:bookmarkStart w:id="32" w:name="sub_1022"/>
      <w:r>
        <w:rPr>
          <w:rFonts w:ascii="TimesNewRomanCYR" w:hAnsi="TimesNewRomanCYR" w:eastAsia="TimesNewRomanCYR" w:cs="TimesNewRomanCYR"/>
          <w:sz w:val="24"/>
        </w:rPr>
        <w:t xml:space="preserve">22. Уполномоченный орган субъекта Российской Федерации, бюджетное учреждение учитывают изложенную в мотивированном мнении позицию в тридцатидневный срок со дня получения уведомления, предусмотренного  настоящего Порядка.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2"/>
      <w:bookmarkStart w:id="33" w:name="sub_1023"/>
      <w:r>
        <w:rPr>
          <w:rFonts w:ascii="TimesNewRomanCYR" w:hAnsi="TimesNewRomanCYR" w:eastAsia="TimesNewRomanCYR" w:cs="TimesNewRomanCYR"/>
          <w:sz w:val="24"/>
        </w:rPr>
        <w:t xml:space="preserve">23. В случае если по результатам рассмотрения возражений Росреестром (территориальным органом) внесены изменения в мотивированное мнение либо мотивированное мнение оставлено без изменений, в течение срока, установленного  настоящего Порядка, уполномоченный орган субъекта Российской Федерации, бюджетное учреждение направляют информацию об устранении обстоятельств, свидетельствующих о неправильном, неполном или несвоевременном исполнении полномочий, в Росреестр (территориальный орган).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3"/>
      <w:bookmarkStart w:id="34" w:name="sub_1024"/>
      <w:r>
        <w:rPr>
          <w:rFonts w:ascii="TimesNewRomanCYR" w:hAnsi="TimesNewRomanCYR" w:eastAsia="TimesNewRomanCYR" w:cs="TimesNewRomanCYR"/>
          <w:sz w:val="24"/>
        </w:rPr>
        <w:t xml:space="preserve">24. Росреестр ежегодно не позднее 31 января размещает на своем </w:t>
      </w:r>
      <w:hyperlink r:id="rId66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официальном сайте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в сети "Интернет" информацию о результатах мониторинга за истекший календарный год, включая информацию о правильности, полноте и своевременности исполнения уполномоченным органом субъекта Российской Федерации, бюджетным учреждением полномочий, в отношении которых осуществляется мониторинг, а также о направленных мотивированных мнениях и об их исполнении.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4"/>
      <w:r>
        <w:rPr>
          <w:rFonts w:ascii="TimesNewRomanCYR" w:hAnsi="TimesNewRomanCYR" w:eastAsia="TimesNewRomanCYR" w:cs="TimesNewRomanCYR"/>
          <w:sz w:val="24"/>
        </w:rPr>
        <w:t xml:space="preserve">Территориальные органы, реализующие полномочия (часть полномочий) по осуществлению мониторинга, ежегодно не позднее 20 января направляют в Росреестр информацию о результатах мониторинга за истекший календарный год, предусмотренную настоящим пунктом.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──────────────────────────────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Start w:id="35" w:name="sub_1111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1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2021, N 24, ст. 4188.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35"/>
      <w:bookmarkStart w:id="36" w:name="sub_2222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2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36"/>
      <w:bookmarkStart w:id="37" w:name="sub_3333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3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37"/>
      <w:bookmarkStart w:id="38" w:name="sub_4444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4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38"/>
      <w:bookmarkStart w:id="39" w:name="sub_5555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5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39"/>
      <w:bookmarkStart w:id="40" w:name="sub_6666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6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40"/>
      <w:bookmarkStart w:id="41" w:name="sub_7777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7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41"/>
      <w:bookmarkStart w:id="42" w:name="sub_8888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8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42"/>
      <w:bookmarkStart w:id="43" w:name="sub_9999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9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43"/>
      <w:bookmarkStart w:id="44" w:name="sub_101010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10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44"/>
      <w:bookmarkStart w:id="45" w:name="sub_111111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11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45"/>
      <w:bookmarkStart w:id="46" w:name="sub_1212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12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2020, N 3,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46"/>
      <w:bookmarkStart w:id="47" w:name="sub_1313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13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47"/>
      <w:bookmarkStart w:id="48" w:name="sub_1414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14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48"/>
      <w:bookmarkStart w:id="49" w:name="sub_1515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15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49"/>
      <w:bookmarkStart w:id="50" w:name="sub_1616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16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50"/>
      <w:bookmarkStart w:id="51" w:name="sub_1717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17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51"/>
      <w:bookmarkStart w:id="52" w:name="sub_1818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18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52"/>
      <w:bookmarkStart w:id="53" w:name="sub_1919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19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53"/>
      <w:bookmarkStart w:id="54" w:name="sub_2020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20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54"/>
      <w:bookmarkStart w:id="55" w:name="sub_2121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21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2020, N 31, ст. 5028.</w:t>
      </w: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bookmarkEnd w:id="55"/>
      <w:r>
        <w:rPr>
          <w:rFonts w:ascii="CourierNew" w:hAnsi="CourierNew" w:eastAsia="CourierNew" w:cs="CourierNew"/>
          <w:sz w:val="22"/>
        </w:rPr>
        <w:t xml:space="preserve">──────────────────────────────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56" w:name="sub_20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2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18 ноября 2021 г. N П/0526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56"/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Форма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___________________________________________</w:t>
      </w: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(наименование исполнительного органа</w:t>
      </w: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государственной власти субъекта Российской</w:t>
      </w: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Федерации, уполномоченного на принятие</w:t>
      </w: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решения о проведении государственной</w:t>
      </w: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кадастровой оценки (далее - уполномоченный</w:t>
      </w: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орган), бюджетного учреждения, созданного</w:t>
      </w: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субъектом Российской Федерации</w:t>
      </w: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и наделенного полномочиями, связанными</w:t>
      </w: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с определением кадастровой стоимости</w:t>
      </w: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(далее - бюджетное учреждение)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_________________________________________</w:t>
      </w: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(почтовый адрес или адрес электронной почты</w:t>
      </w: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уполномоченного органа субъекта Российской</w:t>
      </w: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Федерации, бюджетного учреждения)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Мотивированное мнение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3080"/>
        <w:gridCol w:w="2520"/>
        <w:gridCol w:w="1540"/>
        <w:gridCol w:w="700"/>
        <w:gridCol w:w="2380"/>
      </w:tblGrid>
      <w:tr>
        <w:tc>
          <w:tcPr>
            <w:tcW w:w="7140" w:type="dxa"/>
            <w:gridSpan w:val="3"/>
            <w:tcBorders>
              <w:top w:val="single" w:sz="4"/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bookmarkStart w:id="57" w:name="sub_2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ДД.ММ.ГГГГ</w:t>
            </w:r>
            <w:bookmarkEnd w:id="57"/>
          </w:p>
        </w:tc>
        <w:tc>
          <w:tcPr>
            <w:tcW w:w="700" w:type="dxa"/>
            <w:tcBorders>
              <w:top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N</w:t>
            </w:r>
          </w:p>
        </w:tc>
        <w:tc>
          <w:tcPr>
            <w:tcW w:w="23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Экз. N ___</w:t>
            </w:r>
          </w:p>
        </w:tc>
      </w:tr>
      <w:tr>
        <w:tc>
          <w:tcPr>
            <w:tcW w:w="5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bookmarkStart w:id="58" w:name="sub_20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Наименование органа, уполномоченного на осуществление мониторинга проведения государственной кадастровой оценки, составившего мотивированное мнение</w:t>
            </w:r>
            <w:bookmarkEnd w:id="58"/>
          </w:p>
        </w:tc>
        <w:tc>
          <w:tcPr>
            <w:tcW w:w="4620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5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5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bookmarkStart w:id="59" w:name="sub_20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Период, за который проводится мониторинг проведения государственной кадастровой оценки</w:t>
            </w:r>
            <w:bookmarkEnd w:id="59"/>
          </w:p>
        </w:tc>
        <w:tc>
          <w:tcPr>
            <w:tcW w:w="4620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5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5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bookmarkStart w:id="60" w:name="sub_2003"/>
            <w:r>
              <w:rPr>
                <w:rFonts w:ascii="TimesNewRomanCYR" w:hAnsi="TimesNewRomanCYR" w:eastAsia="TimesNewRomanCYR" w:cs="TimesNewRomanCYR"/>
                <w:sz w:val="24"/>
              </w:rPr>
              <w:t xml:space="preserve">Основание составления мотивированного мнения</w:t>
            </w:r>
            <w:bookmarkEnd w:id="60"/>
          </w:p>
        </w:tc>
        <w:tc>
          <w:tcPr>
            <w:tcW w:w="4620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5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5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bookmarkStart w:id="61" w:name="sub_2004"/>
            <w:r>
              <w:rPr>
                <w:rFonts w:ascii="TimesNewRomanCYR" w:hAnsi="TimesNewRomanCYR" w:eastAsia="TimesNewRomanCYR" w:cs="TimesNewRomanCYR"/>
                <w:sz w:val="24"/>
              </w:rPr>
              <w:t xml:space="preserve">Позиция по вопросам правильности, полноты и своевременности исполнения полномочий, возложенных </w:t>
            </w:r>
            <w:hyperlink r:id="rId67">
              <w:r>
                <w:rPr>
                  <w:rFonts w:ascii="TimesNewRomanCYR" w:hAnsi="TimesNewRomanCYR" w:eastAsia="TimesNewRomanCYR" w:cs="TimesNewRomanCYR"/>
                  <w:b w:val="0"/>
                  <w:color w:val="106bbe"/>
                  <w:sz w:val="24"/>
                </w:rPr>
                <w:t xml:space="preserve">Федеральным законом</w:t>
              </w:r>
            </w:hyperlink>
            <w:r>
              <w:rPr>
                <w:rFonts w:ascii="TimesNewRomanCYR" w:hAnsi="TimesNewRomanCYR" w:eastAsia="TimesNewRomanCYR" w:cs="TimesNewRomanCYR"/>
                <w:sz w:val="24"/>
              </w:rPr>
              <w:t xml:space="preserve"> от 3 июля 2016 г. N 237-ФЗ "О государственной кадастровой оценке"</w:t>
            </w:r>
            <w:r>
              <w:rPr>
                <w:rFonts w:ascii="TimesNewRomanCYR" w:hAnsi="TimesNewRomanCYR" w:eastAsia="TimesNewRomanCYR" w:cs="TimesNewRomanCYR"/>
                <w:sz w:val="24"/>
                <w:vertAlign w:val="superscript"/>
              </w:rPr>
              <w:t xml:space="preserve"> </w:t>
            </w:r>
            <w:r>
              <w:rPr>
                <w:rFonts w:ascii="TimesNewRomanCYR" w:hAnsi="TimesNewRomanCYR" w:eastAsia="TimesNewRomanCYR" w:cs="TimesNewRomanCYR"/>
                <w:sz w:val="24"/>
              </w:rPr>
              <w:t xml:space="preserve"> на уполномоченный орган субъекта Российской Федерации, бюджетное учреждение, с указанием ссылок на соответствующие нормы законодательства Российской Федерации</w:t>
            </w:r>
            <w:bookmarkEnd w:id="61"/>
          </w:p>
        </w:tc>
        <w:tc>
          <w:tcPr>
            <w:tcW w:w="4620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5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5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bookmarkStart w:id="62" w:name="sub_2005"/>
            <w:r>
              <w:rPr>
                <w:rFonts w:ascii="TimesNewRomanCYR" w:hAnsi="TimesNewRomanCYR" w:eastAsia="TimesNewRomanCYR" w:cs="TimesNewRomanCYR"/>
                <w:sz w:val="24"/>
              </w:rPr>
              <w:t xml:space="preserve">Выводы в отношении установленных фактов, свидетельствующих о неправильном, неполном или несвоевременном исполнении полномочий уполномоченным органом субъекта Российской Федерации, бюджетным учреждением</w:t>
            </w:r>
            <w:bookmarkEnd w:id="62"/>
          </w:p>
        </w:tc>
        <w:tc>
          <w:tcPr>
            <w:tcW w:w="4620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5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5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bookmarkStart w:id="63" w:name="sub_2006"/>
            <w:r>
              <w:rPr>
                <w:rFonts w:ascii="TimesNewRomanCYR" w:hAnsi="TimesNewRomanCYR" w:eastAsia="TimesNewRomanCYR" w:cs="TimesNewRomanCYR"/>
                <w:sz w:val="24"/>
              </w:rPr>
              <w:t xml:space="preserve">Сведения, материалы и пояснения, истребованные в соответствии с </w:t>
            </w:r>
            <w:hyperlink r:id="rId68">
              <w:r>
                <w:rPr>
                  <w:rFonts w:ascii="TimesNewRomanCYR" w:hAnsi="TimesNewRomanCYR" w:eastAsia="TimesNewRomanCYR" w:cs="TimesNewRomanCYR"/>
                  <w:b w:val="0"/>
                  <w:color w:val="106bbe"/>
                  <w:sz w:val="24"/>
                </w:rPr>
                <w:t xml:space="preserve">частью 4 статьи 9</w:t>
              </w:r>
            </w:hyperlink>
            <w:r>
              <w:rPr>
                <w:rFonts w:ascii="TimesNewRomanCYR" w:hAnsi="TimesNewRomanCYR" w:eastAsia="TimesNewRomanCYR" w:cs="TimesNewRomanCYR"/>
                <w:sz w:val="24"/>
              </w:rPr>
              <w:t xml:space="preserve"> Федерального закона от 3 июля 2016 г. N 237-ФЗ "О государственной кадастровой оценке"</w:t>
            </w:r>
            <w:r>
              <w:rPr>
                <w:rFonts w:ascii="TimesNewRomanCYR" w:hAnsi="TimesNewRomanCYR" w:eastAsia="TimesNewRomanCYR" w:cs="TimesNewRomanCYR"/>
                <w:sz w:val="24"/>
                <w:vertAlign w:val="superscript"/>
              </w:rPr>
              <w:t xml:space="preserve"> </w:t>
            </w:r>
            <w:bookmarkEnd w:id="63"/>
          </w:p>
        </w:tc>
        <w:tc>
          <w:tcPr>
            <w:tcW w:w="4620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5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3080" w:type="dxa"/>
            <w:tcBorders>
              <w:top w:val="single" w:sz="4"/>
              <w:left w:val="single" w:sz="4"/>
            </w:tcBorders>
            <w:vAlign w:val="top"/>
          </w:tcPr>
          <w:p>
            <w:pPr>
              <w:pStyle w:val="Style_5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</w:t>
            </w:r>
          </w:p>
        </w:tc>
        <w:tc>
          <w:tcPr>
            <w:tcW w:w="2520" w:type="dxa"/>
            <w:tcBorders>
              <w:top w:val="single" w:sz="4"/>
            </w:tcBorders>
            <w:vAlign w:val="top"/>
          </w:tcPr>
          <w:p>
            <w:pPr>
              <w:pStyle w:val="Style_5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</w:t>
            </w:r>
          </w:p>
        </w:tc>
        <w:tc>
          <w:tcPr>
            <w:tcW w:w="4620" w:type="dxa"/>
            <w:gridSpan w:val="3"/>
            <w:tcBorders>
              <w:top w:val="single" w:sz="4"/>
              <w:right w:val="single" w:sz="4"/>
            </w:tcBorders>
            <w:vAlign w:val="top"/>
          </w:tcPr>
          <w:p>
            <w:pPr>
              <w:pStyle w:val="Style_5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________________________</w:t>
            </w:r>
          </w:p>
        </w:tc>
      </w:tr>
      <w:tr>
        <w:tc>
          <w:tcPr>
            <w:tcW w:w="3080" w:type="dxa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_5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должность</w:t>
            </w:r>
          </w:p>
        </w:tc>
        <w:tc>
          <w:tcPr>
            <w:tcW w:w="2520" w:type="dxa"/>
            <w:vMerge w:val="restart"/>
            <w:tcBorders>
              <w:bottom w:val="single" w:sz="4"/>
            </w:tcBorders>
            <w:vAlign w:val="top"/>
          </w:tcPr>
          <w:p>
            <w:pPr>
              <w:pStyle w:val="Style_5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(подпись)</w:t>
            </w:r>
          </w:p>
        </w:tc>
        <w:tc>
          <w:tcPr>
            <w:tcW w:w="4620" w:type="dxa"/>
            <w:gridSpan w:val="3"/>
            <w:vMerge w:val="restart"/>
            <w:tcBorders>
              <w:bottom w:val="single" w:sz="4"/>
              <w:right w:val="single" w:sz="4"/>
            </w:tcBorders>
            <w:vAlign w:val="top"/>
          </w:tcPr>
          <w:p>
            <w:pPr>
              <w:pStyle w:val="Style_5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фамилия, имя и отчество (последнее - при наличии)</w:t>
            </w: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──────────────────────────────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Start w:id="64" w:name="sub_2111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1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2021, N 24, ст. 4188.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End w:id="64"/>
      <w:bookmarkStart w:id="65" w:name="sub_22222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2</w:t>
      </w:r>
      <w:r>
        <w:rPr>
          <w:rFonts w:ascii="TimesNewRomanCYR" w:hAnsi="TimesNewRomanCYR" w:eastAsia="TimesNewRomanCYR" w:cs="TimesNewRomanCYR"/>
          <w:sz w:val="20"/>
        </w:rPr>
        <w:t xml:space="preserve"> Собрание законодательства Российской Федерации, 2016, N 27, ст. 4170; 2021, N 24, ст. 4188.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65"/>
    </w:p>
    <w:sectPr>
      <w:headerReference w:type="default" r:id="rId9"/>
      <w:footerReference w:type="default" r:id="rId10"/>
      <w:type w:val="nextPage"/>
      <w:pgSz w:w="11900" w:h="16800"/>
      <w:pgMar w:top="1440" w:right="800" w:bottom="1440" w:left="800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  <w:endnote w:type="continuationSeparator" w:id="1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00603000000000000"/>
  </w:font>
  <w:font w:name="CourierNew">
    <w:panose1 w:val="02000603000000000000"/>
  </w:font>
  <w:font w:name="TimesNewRomanCYR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433"/>
      <w:gridCol w:w="3433"/>
      <w:gridCol w:w="3433"/>
    </w:tblGrid>
    <w:tr>
      <w:tc>
        <w:tcPr>
          <w:tcW w:w="3433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11"/>
            <w:spacing w:before="0" w:after="0" w:line="240" w:lineRule="auto"/>
            <w:ind w:left="0" w:firstLine="0"/>
            <w:jc w:val="left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0"/>
            </w:rPr>
            <w:fldChar w:fldCharType="begin"/>
          </w:r>
          <w:r>
            <w:rPr>
              <w:rFonts w:ascii="TimesNewRoman" w:hAnsi="TimesNewRoman" w:eastAsia="TimesNewRoman" w:cs="TimesNewRoman"/>
              <w:sz w:val="20"/>
            </w:rPr>
            <w:instrText xml:space="preserve">CREATEDATE  \@ "dd.MM.yyyy"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0"/>
            </w:rPr>
            <w:t xml:space="preserve">05.03.2025</w:t>
          </w:r>
          <w:r>
            <w:fldChar w:fldCharType="end"/>
          </w:r>
          <w:r>
            <w:rPr>
              <w:rFonts w:ascii="TimesNewRoman" w:hAnsi="TimesNewRoman" w:eastAsia="TimesNewRoman" w:cs="TimesNewRoman"/>
              <w:sz w:val="20"/>
            </w:rPr>
            <w:t xml:space="preserve"> </w:t>
          </w:r>
        </w:p>
      </w:tc>
      <w:tc>
        <w:tcPr>
          <w:tcW w:w="3433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11"/>
            <w:spacing w:before="0" w:after="0" w:line="240" w:lineRule="auto"/>
            <w:ind w:left="0" w:firstLine="0"/>
            <w:jc w:val="center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0"/>
            </w:rPr>
            <w:t xml:space="preserve">Система ГАРАНТ</w:t>
          </w:r>
        </w:p>
      </w:tc>
      <w:tc>
        <w:tcPr>
          <w:tcW w:w="3433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11"/>
            <w:spacing w:before="0" w:after="0" w:line="240" w:lineRule="auto"/>
            <w:ind w:left="0" w:firstLine="0"/>
            <w:jc w:val="right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4"/>
            </w:rPr>
            <w:fldChar w:fldCharType="begin"/>
          </w:r>
          <w:r>
            <w:rPr>
              <w:rFonts w:ascii="TimesNewRoman" w:hAnsi="TimesNewRoman" w:eastAsia="TimesNewRoman" w:cs="TimesNewRoman"/>
              <w:sz w:val="24"/>
            </w:rPr>
            <w:instrText xml:space="preserve">PAGE  \* MERGEFORMAT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4"/>
            </w:rPr>
          </w:r>
          <w:r>
            <w:fldChar w:fldCharType="end"/>
          </w:r>
          <w:r>
            <w:rPr>
              <w:rFonts w:ascii="TimesNewRoman" w:hAnsi="TimesNewRoman" w:eastAsia="TimesNewRoman" w:cs="TimesNewRoman"/>
              <w:sz w:val="20"/>
            </w:rPr>
            <w:t xml:space="preserve">/</w:t>
          </w:r>
          <w:r>
            <w:rPr>
              <w:rFonts w:ascii="TimesNewRoman" w:hAnsi="TimesNewRoman" w:eastAsia="TimesNewRoman" w:cs="TimesNewRoman"/>
              <w:sz w:val="24"/>
            </w:rPr>
            <w:fldChar w:fldCharType="begin"/>
          </w:r>
          <w:r>
            <w:rPr>
              <w:rFonts w:ascii="TimesNewRoman" w:hAnsi="TimesNewRoman" w:eastAsia="TimesNewRoman" w:cs="TimesNewRoman"/>
              <w:sz w:val="24"/>
            </w:rPr>
            <w:instrText xml:space="preserve">NUMPAGES  \* Arabic  \* MERGEFORMAT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4"/>
            </w:rPr>
          </w:r>
          <w:r>
            <w:fldChar w:fldCharType="end"/>
          </w:r>
        </w:p>
      </w:tc>
    </w:tr>
  </w:tbl>
  <w:p>
    <w:pPr>
      <w:pStyle w:val="Style_1"/>
      <w:spacing w:before="0" w:after="0" w:line="240" w:lineRule="auto"/>
      <w:ind w:firstLine="720"/>
      <w:jc w:val="left"/>
      <w:rPr>
        <w:rFonts w:ascii="Arial" w:hAnsi="Arial" w:eastAsia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footnote>
  <w:footnote w:type="continuationSeparator" w:id="1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0"/>
      <w:spacing w:before="0" w:after="0" w:line="240" w:lineRule="auto"/>
      <w:ind w:left="0" w:firstLine="0"/>
      <w:jc w:val="left"/>
      <w:rPr>
        <w:rFonts w:ascii="TimesNewRoman" w:hAnsi="TimesNewRoman" w:eastAsia="TimesNewRoman" w:cs="TimesNewRoman"/>
        <w:sz w:val="20"/>
      </w:rPr>
    </w:pPr>
    <w:r>
      <w:rPr>
        <w:rFonts w:ascii="TimesNewRoman" w:hAnsi="TimesNewRoman" w:eastAsia="TimesNewRoman" w:cs="TimesNewRoman"/>
        <w:sz w:val="20"/>
      </w:rPr>
      <w:t xml:space="preserve">Приказ Федеральной службы государственной регистрации, кадастра и картографии от 18 ноября 2021 г. N…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9274983">
    <w:multiLevelType w:val="hybridMultilevel"/>
    <w:lvl w:ilvl="0">
      <w:start w:val="1"/>
      <w:numFmt w:val="bullet"/>
      <w:suff w:val="tab"/>
      <w:lvlJc w:val="left"/>
      <w:pPr>
        <w:ind w:hanging="360"/>
      </w:pPr>
    </w:lvl>
  </w:abstractNum>
  <w:num w:numId="1">
    <w:abstractNumId w:val="1859274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Normal"/>
    <w:pPr>
      <w:spacing w:before="0" w:after="0" w:line="240" w:lineRule="auto"/>
      <w:ind w:firstLine="720"/>
      <w:jc w:val="both"/>
    </w:pPr>
    <w:rPr>
      <w:rFonts w:ascii="TimesNewRomanCYR" w:hAnsi="TimesNewRomanCYR" w:eastAsia="TimesNewRomanCYR" w:cs="TimesNewRomanCYR"/>
      <w:sz w:val="24"/>
    </w:rPr>
  </w:style>
  <w:style w:type="character" w:styleId="Style_2">
    <w:name w:val="Цветовое выделение"/>
    <w:basedOn w:val="Style_9"/>
    <w:rPr>
      <w:rFonts w:ascii="Arial" w:hAnsi="Arial" w:eastAsia="Arial" w:cs="Arial"/>
      <w:b/>
      <w:color w:val="26282f"/>
      <w:sz w:val="24"/>
    </w:rPr>
  </w:style>
  <w:style w:type="character" w:styleId="Style_3">
    <w:name w:val="Гипертекстовая ссылка"/>
    <w:basedOn w:val="Style_2"/>
    <w:rPr>
      <w:rFonts w:ascii="Arial" w:hAnsi="Arial" w:eastAsia="Arial" w:cs="Arial"/>
      <w:b w:val="0"/>
      <w:color w:val="106bbe"/>
      <w:sz w:val="24"/>
    </w:rPr>
  </w:style>
  <w:style w:type="paragraph" w:styleId="Style_4">
    <w:name w:val="heading 1"/>
    <w:basedOn w:val="Style_1"/>
    <w:pPr>
      <w:spacing w:before="108" w:after="108" w:line="240" w:lineRule="auto"/>
      <w:jc w:val="center"/>
    </w:pPr>
    <w:rPr>
      <w:rFonts w:ascii="TimesNewRomanCYR" w:hAnsi="TimesNewRomanCYR" w:eastAsia="TimesNewRomanCYR" w:cs="TimesNewRomanCYR"/>
      <w:b/>
      <w:color w:val="26282f"/>
      <w:sz w:val="24"/>
    </w:rPr>
  </w:style>
  <w:style w:type="paragraph" w:styleId="Style_5">
    <w:name w:val="Нормальный (таблица)"/>
    <w:basedOn w:val="Style_1"/>
    <w:pPr>
      <w:spacing w:before="0" w:after="0" w:line="240" w:lineRule="auto"/>
      <w:jc w:val="both"/>
    </w:pPr>
    <w:rPr>
      <w:rFonts w:ascii="TimesNewRomanCYR" w:hAnsi="TimesNewRomanCYR" w:eastAsia="TimesNewRomanCYR" w:cs="TimesNewRomanCYR"/>
      <w:sz w:val="24"/>
    </w:rPr>
  </w:style>
  <w:style w:type="paragraph" w:styleId="Style_6">
    <w:name w:val="Таблицы (моноширинный)"/>
    <w:basedOn w:val="Style_1"/>
    <w:pPr>
      <w:spacing w:before="0" w:after="0" w:line="240" w:lineRule="auto"/>
      <w:ind w:firstLine="0"/>
      <w:jc w:val="left"/>
    </w:pPr>
    <w:rPr>
      <w:rFonts w:ascii="CourierNew" w:hAnsi="CourierNew" w:eastAsia="CourierNew" w:cs="CourierNew"/>
      <w:sz w:val="24"/>
    </w:rPr>
  </w:style>
  <w:style w:type="paragraph" w:styleId="Style_7">
    <w:name w:val="Прижатый влево"/>
    <w:basedOn w:val="Style_1"/>
    <w:pPr>
      <w:spacing w:before="0" w:after="0" w:line="240" w:lineRule="auto"/>
      <w:ind w:firstLine="0"/>
      <w:jc w:val="left"/>
    </w:pPr>
    <w:rPr>
      <w:rFonts w:ascii="TimesNewRomanCYR" w:hAnsi="TimesNewRomanCYR" w:eastAsia="TimesNewRomanCYR" w:cs="TimesNewRomanCYR"/>
      <w:sz w:val="24"/>
    </w:rPr>
  </w:style>
  <w:style w:type="paragraph" w:styleId="Style_8">
    <w:name w:val="Сноска"/>
    <w:basedOn w:val="Style_1"/>
    <w:pPr>
      <w:spacing w:before="0" w:after="0" w:line="240" w:lineRule="auto"/>
      <w:ind w:firstLine="720"/>
      <w:jc w:val="both"/>
    </w:pPr>
    <w:rPr>
      <w:rFonts w:ascii="TimesNewRomanCYR" w:hAnsi="TimesNewRomanCYR" w:eastAsia="TimesNewRomanCYR" w:cs="TimesNewRomanCYR"/>
      <w:sz w:val="20"/>
    </w:rPr>
  </w:style>
  <w:style w:type="character" w:styleId="Style_9">
    <w:name w:val="Цветовое выделение для Текст"/>
    <w:basedOn w:val="Style_9"/>
    <w:rPr>
      <w:rFonts w:ascii="TimesNewRomanCYR" w:hAnsi="TimesNewRomanCYR" w:eastAsia="TimesNewRomanCYR" w:cs="TimesNewRomanCYR"/>
      <w:sz w:val="24"/>
    </w:rPr>
  </w:style>
  <w:style w:type="paragraph" w:styleId="Style_10">
    <w:name w:val="header"/>
    <w:basedOn w:val="Style_1"/>
    <w:pPr>
      <w:spacing w:before="0" w:after="0" w:line="240" w:lineRule="auto"/>
      <w:jc w:val="center"/>
    </w:pPr>
    <w:rPr>
      <w:rFonts w:ascii="TimesNewRoman" w:hAnsi="TimesNewRoman" w:eastAsia="TimesNewRoman" w:cs="TimesNewRoman"/>
      <w:sz w:val="20"/>
    </w:rPr>
  </w:style>
  <w:style w:type="paragraph" w:styleId="Style_11">
    <w:name w:val="footer"/>
    <w:basedOn w:val="Style_1"/>
    <w:pPr>
      <w:spacing w:before="0" w:after="0" w:line="240" w:lineRule="auto"/>
      <w:jc w:val="left"/>
    </w:pPr>
    <w:rPr>
      <w:rFonts w:ascii="TimesNewRoman" w:hAnsi="TimesNewRoman" w:eastAsia="TimesNewRoman" w:cs="TimesNewRoman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internet.garant.ru/document/redirect/403332551/0" TargetMode="External"/><Relationship Id="rId12" Type="http://schemas.openxmlformats.org/officeDocument/2006/relationships/hyperlink" Target="https://internet.garant.ru/document/redirect/71433956/99013" TargetMode="External"/><Relationship Id="rId13" Type="http://schemas.openxmlformats.org/officeDocument/2006/relationships/hyperlink" Target="https://internet.garant.ru/document/redirect/12167669/1001" TargetMode="External"/><Relationship Id="rId14" Type="http://schemas.openxmlformats.org/officeDocument/2006/relationships/hyperlink" Target="https://internet.garant.ru/document/redirect/12167669/0" TargetMode="External"/><Relationship Id="rId15" Type="http://schemas.openxmlformats.org/officeDocument/2006/relationships/hyperlink" Target="https://internet.garant.ru/document/redirect/71433956/0" TargetMode="External"/><Relationship Id="rId16" Type="http://schemas.openxmlformats.org/officeDocument/2006/relationships/hyperlink" Target="https://internet.garant.ru/document/redirect/71433956/0" TargetMode="External"/><Relationship Id="rId17" Type="http://schemas.openxmlformats.org/officeDocument/2006/relationships/hyperlink" Target="https://internet.garant.ru/document/redirect/406992006/0" TargetMode="External"/><Relationship Id="rId18" Type="http://schemas.openxmlformats.org/officeDocument/2006/relationships/hyperlink" Target="https://internet.garant.ru/document/redirect/71433956/0" TargetMode="External"/><Relationship Id="rId19" Type="http://schemas.openxmlformats.org/officeDocument/2006/relationships/hyperlink" Target="https://internet.garant.ru/document/redirect/71433956/1184" TargetMode="External"/><Relationship Id="rId20" Type="http://schemas.openxmlformats.org/officeDocument/2006/relationships/hyperlink" Target="https://internet.garant.ru/document/redirect/71433956/149" TargetMode="External"/><Relationship Id="rId21" Type="http://schemas.openxmlformats.org/officeDocument/2006/relationships/hyperlink" Target="https://internet.garant.ru/document/redirect/71433956/1412" TargetMode="External"/><Relationship Id="rId22" Type="http://schemas.openxmlformats.org/officeDocument/2006/relationships/hyperlink" Target="https://internet.garant.ru/document/redirect/71433956/1425" TargetMode="External"/><Relationship Id="rId23" Type="http://schemas.openxmlformats.org/officeDocument/2006/relationships/hyperlink" Target="https://internet.garant.ru/document/redirect/71433956/1431" TargetMode="External"/><Relationship Id="rId24" Type="http://schemas.openxmlformats.org/officeDocument/2006/relationships/hyperlink" Target="https://internet.garant.ru/document/redirect/71433956/1432" TargetMode="External"/><Relationship Id="rId25" Type="http://schemas.openxmlformats.org/officeDocument/2006/relationships/hyperlink" Target="https://internet.garant.ru/document/redirect/71433956/155" TargetMode="External"/><Relationship Id="rId26" Type="http://schemas.openxmlformats.org/officeDocument/2006/relationships/hyperlink" Target="https://internet.garant.ru/document/redirect/71433956/156" TargetMode="External"/><Relationship Id="rId27" Type="http://schemas.openxmlformats.org/officeDocument/2006/relationships/hyperlink" Target="https://internet.garant.ru/document/redirect/71433956/167" TargetMode="External"/><Relationship Id="rId28" Type="http://schemas.openxmlformats.org/officeDocument/2006/relationships/hyperlink" Target="https://internet.garant.ru/document/redirect/71433956/16" TargetMode="External"/><Relationship Id="rId29" Type="http://schemas.openxmlformats.org/officeDocument/2006/relationships/hyperlink" Target="https://internet.garant.ru/document/redirect/71433956/21202" TargetMode="External"/><Relationship Id="rId30" Type="http://schemas.openxmlformats.org/officeDocument/2006/relationships/hyperlink" Target="https://internet.garant.ru/document/redirect/71433956/22114" TargetMode="External"/><Relationship Id="rId31" Type="http://schemas.openxmlformats.org/officeDocument/2006/relationships/hyperlink" Target="https://internet.garant.ru/document/redirect/71433956/1181" TargetMode="External"/><Relationship Id="rId32" Type="http://schemas.openxmlformats.org/officeDocument/2006/relationships/hyperlink" Target="https://internet.garant.ru/document/redirect/71433956/149" TargetMode="External"/><Relationship Id="rId33" Type="http://schemas.openxmlformats.org/officeDocument/2006/relationships/hyperlink" Target="https://internet.garant.ru/document/redirect/71433956/1412" TargetMode="External"/><Relationship Id="rId34" Type="http://schemas.openxmlformats.org/officeDocument/2006/relationships/hyperlink" Target="https://internet.garant.ru/document/redirect/71433956/14151" TargetMode="External"/><Relationship Id="rId35" Type="http://schemas.openxmlformats.org/officeDocument/2006/relationships/hyperlink" Target="https://internet.garant.ru/document/redirect/71433956/1424" TargetMode="External"/><Relationship Id="rId36" Type="http://schemas.openxmlformats.org/officeDocument/2006/relationships/hyperlink" Target="https://internet.garant.ru/document/redirect/71433956/1531" TargetMode="External"/><Relationship Id="rId37" Type="http://schemas.openxmlformats.org/officeDocument/2006/relationships/hyperlink" Target="https://internet.garant.ru/document/redirect/71433956/167" TargetMode="External"/><Relationship Id="rId38" Type="http://schemas.openxmlformats.org/officeDocument/2006/relationships/hyperlink" Target="https://internet.garant.ru/document/redirect/71433956/0" TargetMode="External"/><Relationship Id="rId39" Type="http://schemas.openxmlformats.org/officeDocument/2006/relationships/hyperlink" Target="https://internet.garant.ru/document/redirect/71433956/115" TargetMode="External"/><Relationship Id="rId40" Type="http://schemas.openxmlformats.org/officeDocument/2006/relationships/hyperlink" Target="https://internet.garant.ru/document/redirect/71433956/118" TargetMode="External"/><Relationship Id="rId41" Type="http://schemas.openxmlformats.org/officeDocument/2006/relationships/hyperlink" Target="https://internet.garant.ru/document/redirect/71433956/1184" TargetMode="External"/><Relationship Id="rId42" Type="http://schemas.openxmlformats.org/officeDocument/2006/relationships/hyperlink" Target="https://internet.garant.ru/document/redirect/71433956/14151" TargetMode="External"/><Relationship Id="rId43" Type="http://schemas.openxmlformats.org/officeDocument/2006/relationships/hyperlink" Target="https://internet.garant.ru/document/redirect/71433956/151" TargetMode="External"/><Relationship Id="rId44" Type="http://schemas.openxmlformats.org/officeDocument/2006/relationships/hyperlink" Target="https://internet.garant.ru/document/redirect/71433956/1531" TargetMode="External"/><Relationship Id="rId45" Type="http://schemas.openxmlformats.org/officeDocument/2006/relationships/hyperlink" Target="https://internet.garant.ru/document/redirect/71433956/155" TargetMode="External"/><Relationship Id="rId46" Type="http://schemas.openxmlformats.org/officeDocument/2006/relationships/hyperlink" Target="https://internet.garant.ru/document/redirect/71433956/156" TargetMode="External"/><Relationship Id="rId47" Type="http://schemas.openxmlformats.org/officeDocument/2006/relationships/hyperlink" Target="https://internet.garant.ru/document/redirect/71433956/0" TargetMode="External"/><Relationship Id="rId48" Type="http://schemas.openxmlformats.org/officeDocument/2006/relationships/hyperlink" Target="https://internet.garant.ru/document/redirect/71433956/149" TargetMode="External"/><Relationship Id="rId49" Type="http://schemas.openxmlformats.org/officeDocument/2006/relationships/hyperlink" Target="https://internet.garant.ru/document/redirect/71433956/1412" TargetMode="External"/><Relationship Id="rId50" Type="http://schemas.openxmlformats.org/officeDocument/2006/relationships/hyperlink" Target="https://internet.garant.ru/document/redirect/71433956/1424" TargetMode="External"/><Relationship Id="rId51" Type="http://schemas.openxmlformats.org/officeDocument/2006/relationships/hyperlink" Target="https://internet.garant.ru/document/redirect/74637134/1000" TargetMode="External"/><Relationship Id="rId52" Type="http://schemas.openxmlformats.org/officeDocument/2006/relationships/hyperlink" Target="https://internet.garant.ru/document/redirect/74637134/0" TargetMode="External"/><Relationship Id="rId53" Type="http://schemas.openxmlformats.org/officeDocument/2006/relationships/hyperlink" Target="https://internet.garant.ru/document/redirect/71433956/1425" TargetMode="External"/><Relationship Id="rId54" Type="http://schemas.openxmlformats.org/officeDocument/2006/relationships/hyperlink" Target="https://internet.garant.ru/document/redirect/71433956/1431" TargetMode="External"/><Relationship Id="rId55" Type="http://schemas.openxmlformats.org/officeDocument/2006/relationships/hyperlink" Target="https://internet.garant.ru/document/redirect/71433956/1432" TargetMode="External"/><Relationship Id="rId56" Type="http://schemas.openxmlformats.org/officeDocument/2006/relationships/hyperlink" Target="https://internet.garant.ru/document/redirect/71433956/164" TargetMode="External"/><Relationship Id="rId57" Type="http://schemas.openxmlformats.org/officeDocument/2006/relationships/hyperlink" Target="https://internet.garant.ru/document/redirect/71433956/165" TargetMode="External"/><Relationship Id="rId58" Type="http://schemas.openxmlformats.org/officeDocument/2006/relationships/hyperlink" Target="https://internet.garant.ru/document/redirect/71433956/167" TargetMode="External"/><Relationship Id="rId59" Type="http://schemas.openxmlformats.org/officeDocument/2006/relationships/hyperlink" Target="https://internet.garant.ru/document/redirect/71433956/21202" TargetMode="External"/><Relationship Id="rId60" Type="http://schemas.openxmlformats.org/officeDocument/2006/relationships/hyperlink" Target="https://internet.garant.ru/document/redirect/71433956/16" TargetMode="External"/><Relationship Id="rId61" Type="http://schemas.openxmlformats.org/officeDocument/2006/relationships/hyperlink" Target="https://internet.garant.ru/document/redirect/71433956/22114" TargetMode="External"/><Relationship Id="rId62" Type="http://schemas.openxmlformats.org/officeDocument/2006/relationships/hyperlink" Target="https://internet.garant.ru/document/redirect/71433956/0" TargetMode="External"/><Relationship Id="rId63" Type="http://schemas.openxmlformats.org/officeDocument/2006/relationships/hyperlink" Target="https://internet.garant.ru/document/redirect/71433956/0" TargetMode="External"/><Relationship Id="rId64" Type="http://schemas.openxmlformats.org/officeDocument/2006/relationships/hyperlink" Target="https://internet.garant.ru/document/redirect/71433956/0" TargetMode="External"/><Relationship Id="rId65" Type="http://schemas.openxmlformats.org/officeDocument/2006/relationships/hyperlink" Target="https://internet.garant.ru/document/redirect/71433956/94" TargetMode="External"/><Relationship Id="rId66" Type="http://schemas.openxmlformats.org/officeDocument/2006/relationships/hyperlink" Target="https://internet.garant.ru/document/redirect/990941/396847" TargetMode="External"/><Relationship Id="rId67" Type="http://schemas.openxmlformats.org/officeDocument/2006/relationships/hyperlink" Target="https://internet.garant.ru/document/redirect/71433956/0" TargetMode="External"/><Relationship Id="rId68" Type="http://schemas.openxmlformats.org/officeDocument/2006/relationships/hyperlink" Target="https://internet.garant.ru/document/redirect/71433956/9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mio2-5@cap.ru</cp:lastModifiedBy>
</cp:coreProperties>
</file>