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D0D" w:rsidRDefault="003D5B33" w:rsidP="00516D0D">
      <w:pPr>
        <w:spacing w:after="0" w:line="240" w:lineRule="auto"/>
        <w:ind w:left="5245"/>
        <w:jc w:val="center"/>
        <w:rPr>
          <w:rFonts w:ascii="TimesET" w:hAnsi="TimesET"/>
          <w:sz w:val="20"/>
          <w:szCs w:val="20"/>
        </w:rPr>
      </w:pPr>
      <w:r w:rsidRPr="00516D0D">
        <w:rPr>
          <w:rFonts w:ascii="TimesET" w:hAnsi="TimesET"/>
          <w:sz w:val="20"/>
          <w:szCs w:val="20"/>
        </w:rPr>
        <w:t xml:space="preserve">Приложение № 1 </w:t>
      </w:r>
    </w:p>
    <w:p w:rsidR="00516D0D" w:rsidRPr="00516D0D" w:rsidRDefault="00516D0D" w:rsidP="00516D0D">
      <w:pPr>
        <w:spacing w:after="0" w:line="240" w:lineRule="auto"/>
        <w:ind w:left="5245"/>
        <w:jc w:val="center"/>
        <w:rPr>
          <w:rFonts w:ascii="TimesET" w:eastAsia="Aptos" w:hAnsi="TimesET" w:cs="Times New Roman"/>
          <w:bCs/>
          <w:sz w:val="20"/>
          <w:szCs w:val="20"/>
        </w:rPr>
      </w:pPr>
      <w:r w:rsidRPr="00516D0D">
        <w:rPr>
          <w:rFonts w:ascii="TimesET" w:eastAsia="Aptos" w:hAnsi="TimesET" w:cs="Times New Roman"/>
          <w:bCs/>
          <w:sz w:val="20"/>
          <w:szCs w:val="20"/>
        </w:rPr>
        <w:t>к Комплексной программе</w:t>
      </w:r>
    </w:p>
    <w:p w:rsidR="00516D0D" w:rsidRPr="00516D0D" w:rsidRDefault="00516D0D" w:rsidP="00516D0D">
      <w:pPr>
        <w:spacing w:after="0" w:line="240" w:lineRule="auto"/>
        <w:ind w:left="5245"/>
        <w:jc w:val="center"/>
        <w:rPr>
          <w:rFonts w:ascii="TimesET" w:eastAsia="Aptos" w:hAnsi="TimesET" w:cs="Times New Roman"/>
          <w:bCs/>
          <w:sz w:val="20"/>
          <w:szCs w:val="20"/>
        </w:rPr>
      </w:pPr>
      <w:r w:rsidRPr="00516D0D">
        <w:rPr>
          <w:rFonts w:ascii="TimesET" w:eastAsia="Aptos" w:hAnsi="TimesET" w:cs="Times New Roman"/>
          <w:bCs/>
          <w:sz w:val="20"/>
          <w:szCs w:val="20"/>
        </w:rPr>
        <w:t>социально-экономического развития</w:t>
      </w:r>
    </w:p>
    <w:p w:rsidR="00516D0D" w:rsidRPr="00516D0D" w:rsidRDefault="00516D0D" w:rsidP="00516D0D">
      <w:pPr>
        <w:spacing w:after="0" w:line="240" w:lineRule="auto"/>
        <w:ind w:left="5245"/>
        <w:jc w:val="center"/>
        <w:rPr>
          <w:rFonts w:ascii="TimesET" w:eastAsia="Aptos" w:hAnsi="TimesET" w:cs="Times New Roman"/>
          <w:bCs/>
          <w:sz w:val="20"/>
          <w:szCs w:val="20"/>
        </w:rPr>
      </w:pPr>
      <w:r w:rsidRPr="00516D0D">
        <w:rPr>
          <w:rFonts w:ascii="TimesET" w:eastAsia="Aptos" w:hAnsi="TimesET" w:cs="Times New Roman"/>
          <w:bCs/>
          <w:sz w:val="20"/>
          <w:szCs w:val="20"/>
        </w:rPr>
        <w:t>Моргаушского муниципального округа Чувашской Республики</w:t>
      </w:r>
    </w:p>
    <w:p w:rsidR="00516D0D" w:rsidRPr="00516D0D" w:rsidRDefault="00516D0D" w:rsidP="00516D0D">
      <w:pPr>
        <w:spacing w:after="0" w:line="240" w:lineRule="auto"/>
        <w:ind w:left="5245"/>
        <w:jc w:val="center"/>
        <w:rPr>
          <w:rFonts w:ascii="TimesET" w:eastAsia="Aptos" w:hAnsi="TimesET" w:cs="Times New Roman"/>
          <w:bCs/>
          <w:sz w:val="20"/>
          <w:szCs w:val="20"/>
        </w:rPr>
      </w:pPr>
      <w:r w:rsidRPr="00516D0D">
        <w:rPr>
          <w:rFonts w:ascii="TimesET" w:eastAsia="Aptos" w:hAnsi="TimesET" w:cs="Times New Roman"/>
          <w:bCs/>
          <w:sz w:val="20"/>
          <w:szCs w:val="20"/>
        </w:rPr>
        <w:t>на 2025–2030 годы</w:t>
      </w:r>
    </w:p>
    <w:p w:rsidR="003D5B33" w:rsidRPr="00516D0D" w:rsidRDefault="003D5B33" w:rsidP="003D5B33">
      <w:pPr>
        <w:jc w:val="right"/>
        <w:rPr>
          <w:rFonts w:ascii="TimesET" w:hAnsi="TimesET"/>
          <w:sz w:val="20"/>
          <w:szCs w:val="20"/>
        </w:rPr>
      </w:pPr>
    </w:p>
    <w:p w:rsidR="00646A06" w:rsidRPr="00245D8C" w:rsidRDefault="006C5E2E">
      <w:pPr>
        <w:jc w:val="center"/>
        <w:rPr>
          <w:rFonts w:ascii="TimesET" w:hAnsi="TimesET"/>
          <w:b/>
          <w:sz w:val="24"/>
          <w:szCs w:val="24"/>
        </w:rPr>
      </w:pPr>
      <w:r w:rsidRPr="00245D8C">
        <w:rPr>
          <w:rFonts w:ascii="TimesET" w:hAnsi="TimesET"/>
          <w:b/>
          <w:sz w:val="24"/>
          <w:szCs w:val="24"/>
        </w:rPr>
        <w:t>Ключевые показатели, характеризующие социально-экономическое развитие Моргаушского муниципального округа в 2020-2023 годы</w:t>
      </w:r>
    </w:p>
    <w:tbl>
      <w:tblPr>
        <w:tblStyle w:val="af4"/>
        <w:tblW w:w="9889" w:type="dxa"/>
        <w:tblLayout w:type="fixed"/>
        <w:tblLook w:val="04A0" w:firstRow="1" w:lastRow="0" w:firstColumn="1" w:lastColumn="0" w:noHBand="0" w:noVBand="1"/>
      </w:tblPr>
      <w:tblGrid>
        <w:gridCol w:w="2660"/>
        <w:gridCol w:w="992"/>
        <w:gridCol w:w="851"/>
        <w:gridCol w:w="992"/>
        <w:gridCol w:w="992"/>
        <w:gridCol w:w="851"/>
        <w:gridCol w:w="992"/>
        <w:gridCol w:w="1559"/>
      </w:tblGrid>
      <w:tr w:rsidR="00C62426" w:rsidRPr="00245D8C" w:rsidTr="00421056">
        <w:tc>
          <w:tcPr>
            <w:tcW w:w="2660" w:type="dxa"/>
          </w:tcPr>
          <w:p w:rsidR="00C62426" w:rsidRPr="00245D8C" w:rsidRDefault="00C62426">
            <w:pPr>
              <w:jc w:val="center"/>
              <w:rPr>
                <w:rFonts w:ascii="TimesET" w:hAnsi="TimesET"/>
                <w:b/>
                <w:sz w:val="24"/>
                <w:szCs w:val="24"/>
              </w:rPr>
            </w:pPr>
            <w:r w:rsidRPr="00245D8C">
              <w:rPr>
                <w:rFonts w:ascii="TimesET" w:hAnsi="TimesET"/>
                <w:b/>
                <w:sz w:val="24"/>
                <w:szCs w:val="24"/>
              </w:rPr>
              <w:t>Показатели</w:t>
            </w:r>
          </w:p>
        </w:tc>
        <w:tc>
          <w:tcPr>
            <w:tcW w:w="992" w:type="dxa"/>
          </w:tcPr>
          <w:p w:rsidR="00C62426" w:rsidRPr="00245D8C" w:rsidRDefault="00C62426">
            <w:pPr>
              <w:jc w:val="center"/>
              <w:rPr>
                <w:rFonts w:ascii="TimesET" w:hAnsi="TimesET"/>
                <w:b/>
                <w:sz w:val="24"/>
                <w:szCs w:val="24"/>
              </w:rPr>
            </w:pPr>
            <w:r w:rsidRPr="00245D8C">
              <w:rPr>
                <w:rFonts w:ascii="TimesET" w:hAnsi="TimesET"/>
                <w:b/>
                <w:sz w:val="24"/>
                <w:szCs w:val="24"/>
              </w:rPr>
              <w:t>2020</w:t>
            </w:r>
            <w:r>
              <w:rPr>
                <w:rFonts w:ascii="TimesET" w:hAnsi="TimesET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851" w:type="dxa"/>
          </w:tcPr>
          <w:p w:rsidR="00C62426" w:rsidRPr="00245D8C" w:rsidRDefault="00C62426">
            <w:pPr>
              <w:jc w:val="center"/>
              <w:rPr>
                <w:rFonts w:ascii="TimesET" w:hAnsi="TimesET"/>
                <w:b/>
                <w:sz w:val="24"/>
                <w:szCs w:val="24"/>
              </w:rPr>
            </w:pPr>
            <w:r w:rsidRPr="00245D8C">
              <w:rPr>
                <w:rFonts w:ascii="TimesET" w:hAnsi="TimesET"/>
                <w:b/>
                <w:sz w:val="24"/>
                <w:szCs w:val="24"/>
              </w:rPr>
              <w:t>2021</w:t>
            </w:r>
            <w:r>
              <w:rPr>
                <w:rFonts w:ascii="TimesET" w:hAnsi="TimesET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992" w:type="dxa"/>
          </w:tcPr>
          <w:p w:rsidR="00C62426" w:rsidRPr="00245D8C" w:rsidRDefault="00C62426">
            <w:pPr>
              <w:jc w:val="center"/>
              <w:rPr>
                <w:rFonts w:ascii="TimesET" w:hAnsi="TimesET"/>
                <w:b/>
                <w:sz w:val="24"/>
                <w:szCs w:val="24"/>
              </w:rPr>
            </w:pPr>
            <w:r w:rsidRPr="00245D8C">
              <w:rPr>
                <w:rFonts w:ascii="TimesET" w:hAnsi="TimesET"/>
                <w:b/>
                <w:sz w:val="24"/>
                <w:szCs w:val="24"/>
              </w:rPr>
              <w:t>2022</w:t>
            </w:r>
            <w:r>
              <w:rPr>
                <w:rFonts w:ascii="TimesET" w:hAnsi="TimesET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992" w:type="dxa"/>
          </w:tcPr>
          <w:p w:rsidR="00C62426" w:rsidRPr="00245D8C" w:rsidRDefault="00C62426">
            <w:pPr>
              <w:jc w:val="center"/>
              <w:rPr>
                <w:rFonts w:ascii="TimesET" w:hAnsi="TimesET"/>
                <w:b/>
                <w:sz w:val="24"/>
                <w:szCs w:val="24"/>
              </w:rPr>
            </w:pPr>
            <w:r w:rsidRPr="00245D8C">
              <w:rPr>
                <w:rFonts w:ascii="TimesET" w:hAnsi="TimesET"/>
                <w:b/>
                <w:sz w:val="24"/>
                <w:szCs w:val="24"/>
              </w:rPr>
              <w:t>2023</w:t>
            </w:r>
            <w:r>
              <w:rPr>
                <w:rFonts w:ascii="TimesET" w:hAnsi="TimesET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851" w:type="dxa"/>
          </w:tcPr>
          <w:p w:rsidR="00C62426" w:rsidRPr="00245D8C" w:rsidRDefault="00C62426">
            <w:pPr>
              <w:jc w:val="center"/>
              <w:rPr>
                <w:rFonts w:ascii="TimesET" w:hAnsi="TimesET"/>
                <w:b/>
                <w:sz w:val="24"/>
                <w:szCs w:val="24"/>
              </w:rPr>
            </w:pPr>
            <w:r>
              <w:rPr>
                <w:rFonts w:ascii="TimesET" w:hAnsi="TimesET"/>
                <w:b/>
                <w:sz w:val="24"/>
                <w:szCs w:val="24"/>
              </w:rPr>
              <w:t>2024 год</w:t>
            </w:r>
          </w:p>
        </w:tc>
        <w:tc>
          <w:tcPr>
            <w:tcW w:w="992" w:type="dxa"/>
          </w:tcPr>
          <w:p w:rsidR="00C62426" w:rsidRPr="00245D8C" w:rsidRDefault="00C62426" w:rsidP="00C62426">
            <w:pPr>
              <w:jc w:val="center"/>
              <w:rPr>
                <w:rFonts w:ascii="TimesET" w:hAnsi="TimesET"/>
                <w:b/>
                <w:sz w:val="24"/>
                <w:szCs w:val="24"/>
              </w:rPr>
            </w:pPr>
            <w:r w:rsidRPr="00245D8C">
              <w:rPr>
                <w:rFonts w:ascii="TimesET" w:hAnsi="TimesET"/>
                <w:b/>
                <w:sz w:val="24"/>
                <w:szCs w:val="24"/>
              </w:rPr>
              <w:t>Среднее значение за 2020-202</w:t>
            </w:r>
            <w:r>
              <w:rPr>
                <w:rFonts w:ascii="TimesET" w:hAnsi="TimesET"/>
                <w:b/>
                <w:sz w:val="24"/>
                <w:szCs w:val="24"/>
              </w:rPr>
              <w:t>4</w:t>
            </w:r>
            <w:r w:rsidRPr="00245D8C">
              <w:rPr>
                <w:rFonts w:ascii="TimesET" w:hAnsi="TimesET"/>
                <w:b/>
                <w:sz w:val="24"/>
                <w:szCs w:val="24"/>
              </w:rPr>
              <w:t xml:space="preserve"> годы</w:t>
            </w:r>
          </w:p>
        </w:tc>
        <w:tc>
          <w:tcPr>
            <w:tcW w:w="1559" w:type="dxa"/>
          </w:tcPr>
          <w:p w:rsidR="00C62426" w:rsidRPr="00245D8C" w:rsidRDefault="00D17BCD">
            <w:pPr>
              <w:jc w:val="center"/>
              <w:rPr>
                <w:rFonts w:ascii="TimesET" w:hAnsi="TimesET"/>
                <w:b/>
                <w:sz w:val="24"/>
                <w:szCs w:val="24"/>
              </w:rPr>
            </w:pPr>
            <w:r w:rsidRPr="00436771">
              <w:rPr>
                <w:rFonts w:ascii="TimesET" w:hAnsi="TimesET"/>
                <w:b/>
                <w:sz w:val="24"/>
                <w:szCs w:val="24"/>
              </w:rPr>
              <w:t>Темп роста/снижения 2024 года к уровню 2020 года, %</w:t>
            </w:r>
            <w:bookmarkStart w:id="0" w:name="_GoBack"/>
            <w:bookmarkEnd w:id="0"/>
          </w:p>
        </w:tc>
      </w:tr>
      <w:tr w:rsidR="00C62426" w:rsidRPr="00245D8C" w:rsidTr="00421056">
        <w:tc>
          <w:tcPr>
            <w:tcW w:w="2660" w:type="dxa"/>
          </w:tcPr>
          <w:p w:rsidR="00C62426" w:rsidRDefault="00C62426">
            <w:pPr>
              <w:rPr>
                <w:rFonts w:ascii="TimesET" w:hAnsi="TimesET"/>
                <w:sz w:val="24"/>
                <w:szCs w:val="24"/>
              </w:rPr>
            </w:pPr>
            <w:r w:rsidRPr="00245D8C">
              <w:rPr>
                <w:rFonts w:ascii="TimesET" w:hAnsi="TimesET"/>
                <w:sz w:val="24"/>
                <w:szCs w:val="24"/>
              </w:rPr>
              <w:t>Индекс производства сельскохозяйственной продукции, %</w:t>
            </w:r>
          </w:p>
          <w:p w:rsidR="00421056" w:rsidRPr="00245D8C" w:rsidRDefault="00421056">
            <w:pPr>
              <w:rPr>
                <w:rFonts w:ascii="TimesET" w:hAnsi="TimesET"/>
                <w:sz w:val="24"/>
                <w:szCs w:val="24"/>
              </w:rPr>
            </w:pPr>
          </w:p>
        </w:tc>
        <w:tc>
          <w:tcPr>
            <w:tcW w:w="992" w:type="dxa"/>
          </w:tcPr>
          <w:p w:rsidR="00C62426" w:rsidRPr="00245D8C" w:rsidRDefault="00C62426">
            <w:pPr>
              <w:rPr>
                <w:rFonts w:ascii="TimesET" w:hAnsi="TimesET"/>
                <w:sz w:val="24"/>
                <w:szCs w:val="24"/>
              </w:rPr>
            </w:pPr>
            <w:r w:rsidRPr="00245D8C">
              <w:rPr>
                <w:rFonts w:ascii="TimesET" w:hAnsi="TimesET"/>
                <w:sz w:val="24"/>
                <w:szCs w:val="24"/>
              </w:rPr>
              <w:t>104,3</w:t>
            </w:r>
          </w:p>
        </w:tc>
        <w:tc>
          <w:tcPr>
            <w:tcW w:w="851" w:type="dxa"/>
          </w:tcPr>
          <w:p w:rsidR="00C62426" w:rsidRPr="00245D8C" w:rsidRDefault="00C62426">
            <w:pPr>
              <w:rPr>
                <w:rFonts w:ascii="TimesET" w:hAnsi="TimesET"/>
                <w:sz w:val="24"/>
                <w:szCs w:val="24"/>
              </w:rPr>
            </w:pPr>
            <w:r w:rsidRPr="00245D8C">
              <w:rPr>
                <w:rFonts w:ascii="TimesET" w:hAnsi="TimesET"/>
                <w:sz w:val="24"/>
                <w:szCs w:val="24"/>
              </w:rPr>
              <w:t>89,9</w:t>
            </w:r>
          </w:p>
        </w:tc>
        <w:tc>
          <w:tcPr>
            <w:tcW w:w="992" w:type="dxa"/>
          </w:tcPr>
          <w:p w:rsidR="00C62426" w:rsidRPr="00245D8C" w:rsidRDefault="00C62426">
            <w:pPr>
              <w:rPr>
                <w:rFonts w:ascii="TimesET" w:hAnsi="TimesET"/>
                <w:sz w:val="24"/>
                <w:szCs w:val="24"/>
              </w:rPr>
            </w:pPr>
            <w:r w:rsidRPr="00245D8C">
              <w:rPr>
                <w:rFonts w:ascii="TimesET" w:hAnsi="TimesET"/>
                <w:sz w:val="24"/>
                <w:szCs w:val="24"/>
              </w:rPr>
              <w:t>117,8</w:t>
            </w:r>
          </w:p>
        </w:tc>
        <w:tc>
          <w:tcPr>
            <w:tcW w:w="992" w:type="dxa"/>
          </w:tcPr>
          <w:p w:rsidR="00C62426" w:rsidRPr="00245D8C" w:rsidRDefault="00C62426">
            <w:pPr>
              <w:rPr>
                <w:rFonts w:ascii="TimesET" w:hAnsi="TimesET"/>
                <w:sz w:val="24"/>
                <w:szCs w:val="24"/>
              </w:rPr>
            </w:pPr>
            <w:r w:rsidRPr="00245D8C">
              <w:rPr>
                <w:rFonts w:ascii="TimesET" w:hAnsi="TimesET"/>
                <w:sz w:val="24"/>
                <w:szCs w:val="24"/>
              </w:rPr>
              <w:t>100,5</w:t>
            </w:r>
          </w:p>
        </w:tc>
        <w:tc>
          <w:tcPr>
            <w:tcW w:w="851" w:type="dxa"/>
          </w:tcPr>
          <w:p w:rsidR="00C62426" w:rsidRPr="00245D8C" w:rsidRDefault="00BB0131">
            <w:pPr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  <w:sz w:val="24"/>
                <w:szCs w:val="24"/>
              </w:rPr>
              <w:t>109,7</w:t>
            </w:r>
          </w:p>
        </w:tc>
        <w:tc>
          <w:tcPr>
            <w:tcW w:w="992" w:type="dxa"/>
          </w:tcPr>
          <w:p w:rsidR="00C62426" w:rsidRPr="00245D8C" w:rsidRDefault="00813402">
            <w:pPr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  <w:sz w:val="24"/>
                <w:szCs w:val="24"/>
              </w:rPr>
              <w:t>104,4</w:t>
            </w:r>
          </w:p>
        </w:tc>
        <w:tc>
          <w:tcPr>
            <w:tcW w:w="1559" w:type="dxa"/>
          </w:tcPr>
          <w:p w:rsidR="00C62426" w:rsidRPr="00245D8C" w:rsidRDefault="007C2C07">
            <w:pPr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  <w:sz w:val="24"/>
                <w:szCs w:val="24"/>
              </w:rPr>
              <w:t>101,0</w:t>
            </w:r>
          </w:p>
        </w:tc>
      </w:tr>
      <w:tr w:rsidR="00C62426" w:rsidRPr="00245D8C" w:rsidTr="00421056">
        <w:tc>
          <w:tcPr>
            <w:tcW w:w="2660" w:type="dxa"/>
          </w:tcPr>
          <w:p w:rsidR="00C62426" w:rsidRDefault="00C62426">
            <w:pPr>
              <w:rPr>
                <w:rFonts w:ascii="TimesET" w:hAnsi="TimesET"/>
                <w:sz w:val="24"/>
                <w:szCs w:val="24"/>
              </w:rPr>
            </w:pPr>
            <w:r w:rsidRPr="00565B72">
              <w:rPr>
                <w:rFonts w:ascii="TimesET" w:hAnsi="TimesET"/>
                <w:sz w:val="24"/>
                <w:szCs w:val="24"/>
              </w:rPr>
              <w:t>Индекс физического объема работ, выполненных по виду деятельности «Строительство», %</w:t>
            </w:r>
          </w:p>
          <w:p w:rsidR="00421056" w:rsidRPr="00565B72" w:rsidRDefault="00421056">
            <w:pPr>
              <w:rPr>
                <w:rFonts w:ascii="TimesET" w:hAnsi="TimesET"/>
                <w:sz w:val="24"/>
                <w:szCs w:val="24"/>
              </w:rPr>
            </w:pPr>
          </w:p>
        </w:tc>
        <w:tc>
          <w:tcPr>
            <w:tcW w:w="992" w:type="dxa"/>
          </w:tcPr>
          <w:p w:rsidR="00C62426" w:rsidRPr="00565B72" w:rsidRDefault="00C62426">
            <w:pPr>
              <w:rPr>
                <w:rFonts w:ascii="TimesET" w:hAnsi="TimesET"/>
                <w:sz w:val="24"/>
                <w:szCs w:val="24"/>
              </w:rPr>
            </w:pPr>
            <w:r w:rsidRPr="00565B72">
              <w:rPr>
                <w:rFonts w:ascii="TimesET" w:hAnsi="TimesET"/>
                <w:sz w:val="24"/>
                <w:szCs w:val="24"/>
              </w:rPr>
              <w:t>91,2</w:t>
            </w:r>
          </w:p>
        </w:tc>
        <w:tc>
          <w:tcPr>
            <w:tcW w:w="851" w:type="dxa"/>
          </w:tcPr>
          <w:p w:rsidR="00C62426" w:rsidRPr="00565B72" w:rsidRDefault="00C62426">
            <w:pPr>
              <w:rPr>
                <w:rFonts w:ascii="TimesET" w:hAnsi="TimesET"/>
                <w:sz w:val="24"/>
                <w:szCs w:val="24"/>
              </w:rPr>
            </w:pPr>
            <w:r w:rsidRPr="00565B72">
              <w:rPr>
                <w:rFonts w:ascii="TimesET" w:hAnsi="TimesET"/>
                <w:sz w:val="24"/>
                <w:szCs w:val="24"/>
              </w:rPr>
              <w:t>115,7</w:t>
            </w:r>
          </w:p>
        </w:tc>
        <w:tc>
          <w:tcPr>
            <w:tcW w:w="992" w:type="dxa"/>
          </w:tcPr>
          <w:p w:rsidR="00C62426" w:rsidRPr="00565B72" w:rsidRDefault="00C62426">
            <w:pPr>
              <w:rPr>
                <w:rFonts w:ascii="TimesET" w:hAnsi="TimesET"/>
                <w:sz w:val="24"/>
                <w:szCs w:val="24"/>
              </w:rPr>
            </w:pPr>
            <w:r w:rsidRPr="00565B72">
              <w:rPr>
                <w:rFonts w:ascii="TimesET" w:hAnsi="TimesET"/>
                <w:sz w:val="24"/>
                <w:szCs w:val="24"/>
              </w:rPr>
              <w:t>в 7,9 р.</w:t>
            </w:r>
          </w:p>
        </w:tc>
        <w:tc>
          <w:tcPr>
            <w:tcW w:w="992" w:type="dxa"/>
          </w:tcPr>
          <w:p w:rsidR="00C62426" w:rsidRPr="00565B72" w:rsidRDefault="00C62426">
            <w:pPr>
              <w:rPr>
                <w:rFonts w:ascii="TimesET" w:hAnsi="TimesET"/>
                <w:sz w:val="24"/>
                <w:szCs w:val="24"/>
              </w:rPr>
            </w:pPr>
            <w:r w:rsidRPr="00565B72">
              <w:rPr>
                <w:rFonts w:ascii="TimesET" w:hAnsi="TimesET"/>
                <w:sz w:val="24"/>
                <w:szCs w:val="24"/>
              </w:rPr>
              <w:t>10,3</w:t>
            </w:r>
          </w:p>
        </w:tc>
        <w:tc>
          <w:tcPr>
            <w:tcW w:w="851" w:type="dxa"/>
          </w:tcPr>
          <w:p w:rsidR="00C62426" w:rsidRPr="00565B72" w:rsidRDefault="00986470">
            <w:pPr>
              <w:rPr>
                <w:rFonts w:ascii="TimesET" w:hAnsi="TimesET"/>
                <w:sz w:val="24"/>
                <w:szCs w:val="24"/>
              </w:rPr>
            </w:pPr>
            <w:r w:rsidRPr="00565B72">
              <w:rPr>
                <w:rFonts w:ascii="TimesET" w:hAnsi="TimesET"/>
                <w:sz w:val="24"/>
                <w:szCs w:val="24"/>
              </w:rPr>
              <w:t>100,1</w:t>
            </w:r>
          </w:p>
        </w:tc>
        <w:tc>
          <w:tcPr>
            <w:tcW w:w="992" w:type="dxa"/>
          </w:tcPr>
          <w:p w:rsidR="00C62426" w:rsidRPr="00565B72" w:rsidRDefault="00813402">
            <w:pPr>
              <w:rPr>
                <w:rFonts w:ascii="TimesET" w:hAnsi="TimesET"/>
                <w:sz w:val="24"/>
                <w:szCs w:val="24"/>
              </w:rPr>
            </w:pPr>
            <w:r w:rsidRPr="00565B72">
              <w:rPr>
                <w:rFonts w:ascii="TimesET" w:hAnsi="TimesET"/>
                <w:sz w:val="24"/>
                <w:szCs w:val="24"/>
              </w:rPr>
              <w:t>221,4</w:t>
            </w:r>
          </w:p>
        </w:tc>
        <w:tc>
          <w:tcPr>
            <w:tcW w:w="1559" w:type="dxa"/>
          </w:tcPr>
          <w:p w:rsidR="00C62426" w:rsidRPr="00245D8C" w:rsidRDefault="007C2C07">
            <w:pPr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  <w:sz w:val="24"/>
                <w:szCs w:val="24"/>
              </w:rPr>
              <w:t>101,9</w:t>
            </w:r>
          </w:p>
        </w:tc>
      </w:tr>
      <w:tr w:rsidR="00C62426" w:rsidRPr="00245D8C" w:rsidTr="00421056">
        <w:tc>
          <w:tcPr>
            <w:tcW w:w="2660" w:type="dxa"/>
          </w:tcPr>
          <w:p w:rsidR="00C62426" w:rsidRDefault="00C62426">
            <w:pPr>
              <w:rPr>
                <w:rFonts w:ascii="TimesET" w:hAnsi="TimesET"/>
                <w:sz w:val="24"/>
                <w:szCs w:val="24"/>
              </w:rPr>
            </w:pPr>
            <w:r w:rsidRPr="00565B72">
              <w:rPr>
                <w:rFonts w:ascii="TimesET" w:hAnsi="TimesET"/>
                <w:sz w:val="24"/>
                <w:szCs w:val="24"/>
              </w:rPr>
              <w:t>Индекс физического объема инвестиций в основной капитал, %</w:t>
            </w:r>
          </w:p>
          <w:p w:rsidR="00421056" w:rsidRPr="00565B72" w:rsidRDefault="00421056">
            <w:pPr>
              <w:rPr>
                <w:rFonts w:ascii="TimesET" w:hAnsi="TimesET"/>
                <w:sz w:val="24"/>
                <w:szCs w:val="24"/>
              </w:rPr>
            </w:pPr>
          </w:p>
        </w:tc>
        <w:tc>
          <w:tcPr>
            <w:tcW w:w="992" w:type="dxa"/>
          </w:tcPr>
          <w:p w:rsidR="00C62426" w:rsidRPr="00565B72" w:rsidRDefault="00C62426">
            <w:pPr>
              <w:rPr>
                <w:rFonts w:ascii="TimesET" w:hAnsi="TimesET"/>
                <w:sz w:val="24"/>
                <w:szCs w:val="24"/>
              </w:rPr>
            </w:pPr>
            <w:r w:rsidRPr="00565B72">
              <w:rPr>
                <w:rFonts w:ascii="TimesET" w:hAnsi="TimesET"/>
                <w:sz w:val="24"/>
                <w:szCs w:val="24"/>
              </w:rPr>
              <w:t>87,1</w:t>
            </w:r>
          </w:p>
        </w:tc>
        <w:tc>
          <w:tcPr>
            <w:tcW w:w="851" w:type="dxa"/>
          </w:tcPr>
          <w:p w:rsidR="00C62426" w:rsidRPr="00565B72" w:rsidRDefault="00C62426">
            <w:pPr>
              <w:rPr>
                <w:rFonts w:ascii="TimesET" w:hAnsi="TimesET"/>
                <w:sz w:val="24"/>
                <w:szCs w:val="24"/>
              </w:rPr>
            </w:pPr>
            <w:r w:rsidRPr="00565B72">
              <w:rPr>
                <w:rFonts w:ascii="TimesET" w:hAnsi="TimesET"/>
                <w:sz w:val="24"/>
                <w:szCs w:val="24"/>
              </w:rPr>
              <w:t>154,7</w:t>
            </w:r>
          </w:p>
        </w:tc>
        <w:tc>
          <w:tcPr>
            <w:tcW w:w="992" w:type="dxa"/>
          </w:tcPr>
          <w:p w:rsidR="00C62426" w:rsidRPr="00565B72" w:rsidRDefault="00C62426">
            <w:pPr>
              <w:rPr>
                <w:rFonts w:ascii="TimesET" w:hAnsi="TimesET"/>
                <w:sz w:val="24"/>
                <w:szCs w:val="24"/>
              </w:rPr>
            </w:pPr>
            <w:r w:rsidRPr="00565B72">
              <w:rPr>
                <w:rFonts w:ascii="TimesET" w:hAnsi="TimesET"/>
                <w:sz w:val="24"/>
                <w:szCs w:val="24"/>
              </w:rPr>
              <w:t>35,9</w:t>
            </w:r>
          </w:p>
        </w:tc>
        <w:tc>
          <w:tcPr>
            <w:tcW w:w="992" w:type="dxa"/>
          </w:tcPr>
          <w:p w:rsidR="00C62426" w:rsidRPr="00565B72" w:rsidRDefault="00C62426">
            <w:pPr>
              <w:rPr>
                <w:rFonts w:ascii="TimesET" w:hAnsi="TimesET"/>
                <w:sz w:val="24"/>
                <w:szCs w:val="24"/>
              </w:rPr>
            </w:pPr>
            <w:r w:rsidRPr="00565B72">
              <w:rPr>
                <w:rFonts w:ascii="TimesET" w:hAnsi="TimesET"/>
                <w:sz w:val="24"/>
                <w:szCs w:val="24"/>
              </w:rPr>
              <w:t>91,7</w:t>
            </w:r>
          </w:p>
        </w:tc>
        <w:tc>
          <w:tcPr>
            <w:tcW w:w="851" w:type="dxa"/>
          </w:tcPr>
          <w:p w:rsidR="00C62426" w:rsidRPr="00565B72" w:rsidRDefault="00C822CE">
            <w:pPr>
              <w:rPr>
                <w:rFonts w:ascii="TimesET" w:hAnsi="TimesET"/>
                <w:sz w:val="24"/>
                <w:szCs w:val="24"/>
              </w:rPr>
            </w:pPr>
            <w:r w:rsidRPr="00565B72">
              <w:rPr>
                <w:rFonts w:ascii="TimesET" w:hAnsi="TimesET"/>
                <w:sz w:val="24"/>
                <w:szCs w:val="24"/>
              </w:rPr>
              <w:t>132,6</w:t>
            </w:r>
          </w:p>
        </w:tc>
        <w:tc>
          <w:tcPr>
            <w:tcW w:w="992" w:type="dxa"/>
          </w:tcPr>
          <w:p w:rsidR="00C62426" w:rsidRPr="00565B72" w:rsidRDefault="00813402">
            <w:pPr>
              <w:rPr>
                <w:rFonts w:ascii="TimesET" w:hAnsi="TimesET"/>
                <w:sz w:val="24"/>
                <w:szCs w:val="24"/>
              </w:rPr>
            </w:pPr>
            <w:r w:rsidRPr="00565B72">
              <w:rPr>
                <w:rFonts w:ascii="TimesET" w:hAnsi="TimesET"/>
                <w:sz w:val="24"/>
                <w:szCs w:val="24"/>
              </w:rPr>
              <w:t>100,4</w:t>
            </w:r>
          </w:p>
        </w:tc>
        <w:tc>
          <w:tcPr>
            <w:tcW w:w="1559" w:type="dxa"/>
          </w:tcPr>
          <w:p w:rsidR="00C62426" w:rsidRPr="00245D8C" w:rsidRDefault="007C2C07">
            <w:pPr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  <w:sz w:val="24"/>
                <w:szCs w:val="24"/>
              </w:rPr>
              <w:t>108,8</w:t>
            </w:r>
          </w:p>
        </w:tc>
      </w:tr>
      <w:tr w:rsidR="00C62426" w:rsidRPr="00245D8C" w:rsidTr="00421056">
        <w:tc>
          <w:tcPr>
            <w:tcW w:w="2660" w:type="dxa"/>
          </w:tcPr>
          <w:p w:rsidR="00C62426" w:rsidRDefault="00C62426">
            <w:pPr>
              <w:rPr>
                <w:rFonts w:ascii="TimesET" w:hAnsi="TimesET"/>
                <w:sz w:val="24"/>
                <w:szCs w:val="24"/>
              </w:rPr>
            </w:pPr>
            <w:r w:rsidRPr="00245D8C">
              <w:rPr>
                <w:rFonts w:ascii="TimesET" w:hAnsi="TimesET"/>
                <w:sz w:val="24"/>
                <w:szCs w:val="24"/>
              </w:rPr>
              <w:t>Доля бюджетных инвестиций в инвестициях в основной капитал (без учета малого и среднего предпринимательства)</w:t>
            </w:r>
          </w:p>
          <w:p w:rsidR="00421056" w:rsidRPr="00245D8C" w:rsidRDefault="00421056">
            <w:pPr>
              <w:rPr>
                <w:rFonts w:ascii="TimesET" w:hAnsi="TimesET"/>
                <w:sz w:val="24"/>
                <w:szCs w:val="24"/>
              </w:rPr>
            </w:pPr>
          </w:p>
        </w:tc>
        <w:tc>
          <w:tcPr>
            <w:tcW w:w="992" w:type="dxa"/>
          </w:tcPr>
          <w:p w:rsidR="00C62426" w:rsidRPr="00245D8C" w:rsidRDefault="007C2C07">
            <w:pPr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  <w:sz w:val="24"/>
                <w:szCs w:val="24"/>
              </w:rPr>
              <w:t>17,2</w:t>
            </w:r>
          </w:p>
        </w:tc>
        <w:tc>
          <w:tcPr>
            <w:tcW w:w="851" w:type="dxa"/>
          </w:tcPr>
          <w:p w:rsidR="00C62426" w:rsidRPr="00245D8C" w:rsidRDefault="007C2C07">
            <w:pPr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  <w:sz w:val="24"/>
                <w:szCs w:val="24"/>
              </w:rPr>
              <w:t>18,5</w:t>
            </w:r>
          </w:p>
        </w:tc>
        <w:tc>
          <w:tcPr>
            <w:tcW w:w="992" w:type="dxa"/>
          </w:tcPr>
          <w:p w:rsidR="00C62426" w:rsidRPr="00245D8C" w:rsidRDefault="00C62426">
            <w:pPr>
              <w:rPr>
                <w:rFonts w:ascii="TimesET" w:hAnsi="TimesET"/>
                <w:sz w:val="24"/>
                <w:szCs w:val="24"/>
              </w:rPr>
            </w:pPr>
            <w:r w:rsidRPr="00245D8C">
              <w:rPr>
                <w:rFonts w:ascii="TimesET" w:hAnsi="TimesET"/>
                <w:sz w:val="24"/>
                <w:szCs w:val="24"/>
              </w:rPr>
              <w:t>14,3</w:t>
            </w:r>
          </w:p>
        </w:tc>
        <w:tc>
          <w:tcPr>
            <w:tcW w:w="992" w:type="dxa"/>
          </w:tcPr>
          <w:p w:rsidR="00C62426" w:rsidRPr="00245D8C" w:rsidRDefault="00C62426">
            <w:pPr>
              <w:rPr>
                <w:rFonts w:ascii="TimesET" w:hAnsi="TimesET"/>
                <w:sz w:val="24"/>
                <w:szCs w:val="24"/>
              </w:rPr>
            </w:pPr>
            <w:r w:rsidRPr="00245D8C">
              <w:rPr>
                <w:rFonts w:ascii="TimesET" w:hAnsi="TimesET"/>
                <w:sz w:val="24"/>
                <w:szCs w:val="24"/>
              </w:rPr>
              <w:t>12,5</w:t>
            </w:r>
          </w:p>
        </w:tc>
        <w:tc>
          <w:tcPr>
            <w:tcW w:w="851" w:type="dxa"/>
          </w:tcPr>
          <w:p w:rsidR="00C62426" w:rsidRPr="00245D8C" w:rsidRDefault="007C2C07">
            <w:pPr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  <w:sz w:val="24"/>
                <w:szCs w:val="24"/>
              </w:rPr>
              <w:t>17,5</w:t>
            </w:r>
          </w:p>
        </w:tc>
        <w:tc>
          <w:tcPr>
            <w:tcW w:w="992" w:type="dxa"/>
          </w:tcPr>
          <w:p w:rsidR="00C62426" w:rsidRPr="00245D8C" w:rsidRDefault="007C2C07">
            <w:pPr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  <w:sz w:val="24"/>
                <w:szCs w:val="24"/>
              </w:rPr>
              <w:t>16,0</w:t>
            </w:r>
          </w:p>
        </w:tc>
        <w:tc>
          <w:tcPr>
            <w:tcW w:w="1559" w:type="dxa"/>
          </w:tcPr>
          <w:p w:rsidR="00C62426" w:rsidRPr="00245D8C" w:rsidRDefault="007C2C07">
            <w:pPr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  <w:sz w:val="24"/>
                <w:szCs w:val="24"/>
              </w:rPr>
              <w:t>104,0</w:t>
            </w:r>
          </w:p>
        </w:tc>
      </w:tr>
      <w:tr w:rsidR="001E1697" w:rsidRPr="00245D8C" w:rsidTr="00421056">
        <w:tc>
          <w:tcPr>
            <w:tcW w:w="2660" w:type="dxa"/>
          </w:tcPr>
          <w:p w:rsidR="001E1697" w:rsidRDefault="001E1697">
            <w:pPr>
              <w:rPr>
                <w:rFonts w:ascii="TimesET" w:hAnsi="TimesET"/>
                <w:sz w:val="24"/>
                <w:szCs w:val="24"/>
              </w:rPr>
            </w:pPr>
            <w:r w:rsidRPr="00245D8C">
              <w:rPr>
                <w:rFonts w:ascii="TimesET" w:hAnsi="TimesET"/>
                <w:sz w:val="24"/>
                <w:szCs w:val="24"/>
              </w:rPr>
              <w:t>Уровень безработицы, в %</w:t>
            </w:r>
          </w:p>
          <w:p w:rsidR="001E1697" w:rsidRPr="00245D8C" w:rsidRDefault="001E1697">
            <w:pPr>
              <w:rPr>
                <w:rFonts w:ascii="TimesET" w:hAnsi="TimesET"/>
                <w:sz w:val="24"/>
                <w:szCs w:val="24"/>
              </w:rPr>
            </w:pPr>
          </w:p>
        </w:tc>
        <w:tc>
          <w:tcPr>
            <w:tcW w:w="992" w:type="dxa"/>
          </w:tcPr>
          <w:p w:rsidR="001E1697" w:rsidRPr="00245D8C" w:rsidRDefault="001E1697">
            <w:pPr>
              <w:rPr>
                <w:rFonts w:ascii="TimesET" w:hAnsi="TimesET"/>
                <w:sz w:val="24"/>
                <w:szCs w:val="24"/>
              </w:rPr>
            </w:pPr>
            <w:r w:rsidRPr="00245D8C">
              <w:rPr>
                <w:rFonts w:ascii="TimesET" w:hAnsi="TimesET"/>
                <w:sz w:val="24"/>
                <w:szCs w:val="24"/>
              </w:rPr>
              <w:t>1,9</w:t>
            </w:r>
          </w:p>
        </w:tc>
        <w:tc>
          <w:tcPr>
            <w:tcW w:w="851" w:type="dxa"/>
          </w:tcPr>
          <w:p w:rsidR="001E1697" w:rsidRPr="00245D8C" w:rsidRDefault="001E1697">
            <w:pPr>
              <w:rPr>
                <w:rFonts w:ascii="TimesET" w:hAnsi="TimesET"/>
                <w:sz w:val="24"/>
                <w:szCs w:val="24"/>
              </w:rPr>
            </w:pPr>
            <w:r w:rsidRPr="00245D8C">
              <w:rPr>
                <w:rFonts w:ascii="TimesET" w:hAnsi="TimesET"/>
                <w:sz w:val="24"/>
                <w:szCs w:val="24"/>
              </w:rPr>
              <w:t>0,31</w:t>
            </w:r>
          </w:p>
        </w:tc>
        <w:tc>
          <w:tcPr>
            <w:tcW w:w="992" w:type="dxa"/>
          </w:tcPr>
          <w:p w:rsidR="001E1697" w:rsidRPr="00245D8C" w:rsidRDefault="001E1697">
            <w:pPr>
              <w:rPr>
                <w:rFonts w:ascii="TimesET" w:hAnsi="TimesET"/>
                <w:sz w:val="24"/>
                <w:szCs w:val="24"/>
              </w:rPr>
            </w:pPr>
            <w:r w:rsidRPr="00245D8C">
              <w:rPr>
                <w:rFonts w:ascii="TimesET" w:hAnsi="TimesET"/>
                <w:sz w:val="24"/>
                <w:szCs w:val="24"/>
              </w:rPr>
              <w:t>0,36</w:t>
            </w:r>
          </w:p>
        </w:tc>
        <w:tc>
          <w:tcPr>
            <w:tcW w:w="992" w:type="dxa"/>
          </w:tcPr>
          <w:p w:rsidR="001E1697" w:rsidRPr="00245D8C" w:rsidRDefault="001E1697">
            <w:pPr>
              <w:rPr>
                <w:rFonts w:ascii="TimesET" w:hAnsi="TimesET"/>
                <w:sz w:val="24"/>
                <w:szCs w:val="24"/>
              </w:rPr>
            </w:pPr>
            <w:r w:rsidRPr="00245D8C">
              <w:rPr>
                <w:rFonts w:ascii="TimesET" w:hAnsi="TimesET"/>
                <w:sz w:val="24"/>
                <w:szCs w:val="24"/>
              </w:rPr>
              <w:t>0,2</w:t>
            </w:r>
          </w:p>
        </w:tc>
        <w:tc>
          <w:tcPr>
            <w:tcW w:w="851" w:type="dxa"/>
          </w:tcPr>
          <w:p w:rsidR="001E1697" w:rsidRPr="00245D8C" w:rsidRDefault="001E1697">
            <w:pPr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  <w:sz w:val="24"/>
                <w:szCs w:val="24"/>
              </w:rPr>
              <w:t>0,22</w:t>
            </w:r>
          </w:p>
        </w:tc>
        <w:tc>
          <w:tcPr>
            <w:tcW w:w="992" w:type="dxa"/>
          </w:tcPr>
          <w:p w:rsidR="001E1697" w:rsidRPr="00245D8C" w:rsidRDefault="001E1697" w:rsidP="00541236">
            <w:pPr>
              <w:rPr>
                <w:rFonts w:ascii="TimesET" w:hAnsi="TimesET"/>
                <w:sz w:val="24"/>
                <w:szCs w:val="24"/>
              </w:rPr>
            </w:pPr>
            <w:r w:rsidRPr="00245D8C">
              <w:rPr>
                <w:rFonts w:ascii="TimesET" w:hAnsi="TimesET"/>
                <w:sz w:val="24"/>
                <w:szCs w:val="24"/>
              </w:rPr>
              <w:t>0,69</w:t>
            </w:r>
          </w:p>
        </w:tc>
        <w:tc>
          <w:tcPr>
            <w:tcW w:w="1559" w:type="dxa"/>
          </w:tcPr>
          <w:p w:rsidR="001E1697" w:rsidRPr="00245D8C" w:rsidRDefault="001E1697" w:rsidP="00541236">
            <w:pPr>
              <w:rPr>
                <w:rFonts w:ascii="TimesET" w:hAnsi="TimesET"/>
                <w:sz w:val="24"/>
                <w:szCs w:val="24"/>
              </w:rPr>
            </w:pPr>
            <w:r w:rsidRPr="00245D8C">
              <w:rPr>
                <w:rFonts w:ascii="TimesET" w:hAnsi="TimesET"/>
                <w:sz w:val="24"/>
                <w:szCs w:val="24"/>
              </w:rPr>
              <w:t>22,2</w:t>
            </w:r>
          </w:p>
        </w:tc>
      </w:tr>
      <w:tr w:rsidR="00C62426" w:rsidRPr="00245D8C" w:rsidTr="00421056">
        <w:tc>
          <w:tcPr>
            <w:tcW w:w="2660" w:type="dxa"/>
          </w:tcPr>
          <w:p w:rsidR="00C62426" w:rsidRDefault="00C62426">
            <w:pPr>
              <w:rPr>
                <w:rFonts w:ascii="TimesET" w:hAnsi="TimesET"/>
                <w:sz w:val="24"/>
                <w:szCs w:val="24"/>
              </w:rPr>
            </w:pPr>
            <w:r w:rsidRPr="00245D8C">
              <w:rPr>
                <w:rFonts w:ascii="TimesET" w:hAnsi="TimesET"/>
                <w:sz w:val="24"/>
                <w:szCs w:val="24"/>
              </w:rPr>
              <w:t>Темп роста реальной заработной платы, %</w:t>
            </w:r>
          </w:p>
          <w:p w:rsidR="00C62426" w:rsidRPr="00245D8C" w:rsidRDefault="00C62426">
            <w:pPr>
              <w:rPr>
                <w:rFonts w:ascii="TimesET" w:hAnsi="TimesET"/>
                <w:sz w:val="24"/>
                <w:szCs w:val="24"/>
              </w:rPr>
            </w:pPr>
          </w:p>
        </w:tc>
        <w:tc>
          <w:tcPr>
            <w:tcW w:w="992" w:type="dxa"/>
          </w:tcPr>
          <w:p w:rsidR="00C62426" w:rsidRPr="00245D8C" w:rsidRDefault="00C62426">
            <w:pPr>
              <w:rPr>
                <w:rFonts w:ascii="TimesET" w:hAnsi="TimesET"/>
                <w:sz w:val="24"/>
                <w:szCs w:val="24"/>
              </w:rPr>
            </w:pPr>
            <w:r w:rsidRPr="00245D8C">
              <w:rPr>
                <w:rFonts w:ascii="TimesET" w:hAnsi="TimesET"/>
                <w:sz w:val="24"/>
                <w:szCs w:val="24"/>
              </w:rPr>
              <w:t>113,0</w:t>
            </w:r>
          </w:p>
        </w:tc>
        <w:tc>
          <w:tcPr>
            <w:tcW w:w="851" w:type="dxa"/>
          </w:tcPr>
          <w:p w:rsidR="00C62426" w:rsidRPr="00245D8C" w:rsidRDefault="00C62426">
            <w:pPr>
              <w:rPr>
                <w:rFonts w:ascii="TimesET" w:hAnsi="TimesET"/>
                <w:sz w:val="24"/>
                <w:szCs w:val="24"/>
              </w:rPr>
            </w:pPr>
            <w:r w:rsidRPr="00245D8C">
              <w:rPr>
                <w:rFonts w:ascii="TimesET" w:hAnsi="TimesET"/>
                <w:sz w:val="24"/>
                <w:szCs w:val="24"/>
              </w:rPr>
              <w:t>106,5</w:t>
            </w:r>
          </w:p>
        </w:tc>
        <w:tc>
          <w:tcPr>
            <w:tcW w:w="992" w:type="dxa"/>
          </w:tcPr>
          <w:p w:rsidR="00C62426" w:rsidRPr="00245D8C" w:rsidRDefault="00C62426">
            <w:pPr>
              <w:rPr>
                <w:rFonts w:ascii="TimesET" w:hAnsi="TimesET"/>
                <w:sz w:val="24"/>
                <w:szCs w:val="24"/>
              </w:rPr>
            </w:pPr>
            <w:r w:rsidRPr="00245D8C">
              <w:rPr>
                <w:rFonts w:ascii="TimesET" w:hAnsi="TimesET"/>
                <w:sz w:val="24"/>
                <w:szCs w:val="24"/>
              </w:rPr>
              <w:t>110,3</w:t>
            </w:r>
          </w:p>
        </w:tc>
        <w:tc>
          <w:tcPr>
            <w:tcW w:w="992" w:type="dxa"/>
          </w:tcPr>
          <w:p w:rsidR="00C62426" w:rsidRPr="00245D8C" w:rsidRDefault="00C62426">
            <w:pPr>
              <w:rPr>
                <w:rFonts w:ascii="TimesET" w:hAnsi="TimesET"/>
                <w:sz w:val="24"/>
                <w:szCs w:val="24"/>
              </w:rPr>
            </w:pPr>
            <w:r w:rsidRPr="00245D8C">
              <w:rPr>
                <w:rFonts w:ascii="TimesET" w:hAnsi="TimesET"/>
                <w:sz w:val="24"/>
                <w:szCs w:val="24"/>
              </w:rPr>
              <w:t>120,2</w:t>
            </w:r>
          </w:p>
        </w:tc>
        <w:tc>
          <w:tcPr>
            <w:tcW w:w="851" w:type="dxa"/>
          </w:tcPr>
          <w:p w:rsidR="00C62426" w:rsidRPr="00245D8C" w:rsidRDefault="00271A83">
            <w:pPr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  <w:sz w:val="24"/>
                <w:szCs w:val="24"/>
              </w:rPr>
              <w:t>122,8</w:t>
            </w:r>
          </w:p>
        </w:tc>
        <w:tc>
          <w:tcPr>
            <w:tcW w:w="992" w:type="dxa"/>
          </w:tcPr>
          <w:p w:rsidR="00C62426" w:rsidRPr="00245D8C" w:rsidRDefault="007C2C07">
            <w:pPr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  <w:sz w:val="24"/>
                <w:szCs w:val="24"/>
              </w:rPr>
              <w:t>114,6</w:t>
            </w:r>
          </w:p>
        </w:tc>
        <w:tc>
          <w:tcPr>
            <w:tcW w:w="1559" w:type="dxa"/>
          </w:tcPr>
          <w:p w:rsidR="00C62426" w:rsidRPr="00245D8C" w:rsidRDefault="007C2C07">
            <w:pPr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  <w:sz w:val="24"/>
                <w:szCs w:val="24"/>
              </w:rPr>
              <w:t>101,7</w:t>
            </w:r>
          </w:p>
        </w:tc>
      </w:tr>
      <w:tr w:rsidR="00550ABC" w:rsidRPr="00245D8C" w:rsidTr="00421056">
        <w:tc>
          <w:tcPr>
            <w:tcW w:w="2660" w:type="dxa"/>
          </w:tcPr>
          <w:p w:rsidR="00550ABC" w:rsidRPr="00436771" w:rsidRDefault="00550ABC" w:rsidP="00550ABC">
            <w:pPr>
              <w:rPr>
                <w:rFonts w:ascii="TimesET" w:hAnsi="TimesET"/>
                <w:sz w:val="24"/>
                <w:szCs w:val="24"/>
              </w:rPr>
            </w:pPr>
            <w:r w:rsidRPr="00436771">
              <w:rPr>
                <w:rFonts w:ascii="TimesET" w:hAnsi="TimesET"/>
                <w:sz w:val="24"/>
                <w:szCs w:val="24"/>
              </w:rPr>
              <w:t>Ввод в действие жилых домов, м</w:t>
            </w:r>
            <w:proofErr w:type="gramStart"/>
            <w:r w:rsidRPr="00436771">
              <w:rPr>
                <w:rFonts w:ascii="TimesET" w:hAnsi="TimesET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992" w:type="dxa"/>
          </w:tcPr>
          <w:p w:rsidR="00550ABC" w:rsidRPr="00436771" w:rsidRDefault="00550ABC">
            <w:pPr>
              <w:rPr>
                <w:rFonts w:ascii="TimesET" w:hAnsi="TimesET"/>
                <w:sz w:val="24"/>
                <w:szCs w:val="24"/>
              </w:rPr>
            </w:pPr>
            <w:r w:rsidRPr="00436771">
              <w:rPr>
                <w:rFonts w:ascii="TimesET" w:hAnsi="TimesET"/>
                <w:sz w:val="24"/>
                <w:szCs w:val="24"/>
              </w:rPr>
              <w:t>12131</w:t>
            </w:r>
          </w:p>
        </w:tc>
        <w:tc>
          <w:tcPr>
            <w:tcW w:w="851" w:type="dxa"/>
          </w:tcPr>
          <w:p w:rsidR="00550ABC" w:rsidRPr="00436771" w:rsidRDefault="003B0A1F">
            <w:pPr>
              <w:rPr>
                <w:rFonts w:ascii="TimesET" w:hAnsi="TimesET"/>
                <w:sz w:val="24"/>
                <w:szCs w:val="24"/>
                <w:lang w:val="en-US"/>
              </w:rPr>
            </w:pPr>
            <w:r w:rsidRPr="00436771">
              <w:rPr>
                <w:rFonts w:ascii="TimesET" w:hAnsi="TimesET"/>
                <w:sz w:val="24"/>
                <w:szCs w:val="24"/>
                <w:lang w:val="en-US"/>
              </w:rPr>
              <w:t>28722</w:t>
            </w:r>
          </w:p>
        </w:tc>
        <w:tc>
          <w:tcPr>
            <w:tcW w:w="992" w:type="dxa"/>
          </w:tcPr>
          <w:p w:rsidR="00550ABC" w:rsidRPr="00436771" w:rsidRDefault="003B0A1F">
            <w:pPr>
              <w:rPr>
                <w:rFonts w:ascii="TimesET" w:hAnsi="TimesET"/>
                <w:sz w:val="24"/>
                <w:szCs w:val="24"/>
                <w:lang w:val="en-US"/>
              </w:rPr>
            </w:pPr>
            <w:r w:rsidRPr="00436771">
              <w:rPr>
                <w:rFonts w:ascii="TimesET" w:hAnsi="TimesET"/>
                <w:sz w:val="24"/>
                <w:szCs w:val="24"/>
                <w:lang w:val="en-US"/>
              </w:rPr>
              <w:t>17645</w:t>
            </w:r>
          </w:p>
        </w:tc>
        <w:tc>
          <w:tcPr>
            <w:tcW w:w="992" w:type="dxa"/>
          </w:tcPr>
          <w:p w:rsidR="00550ABC" w:rsidRPr="00436771" w:rsidRDefault="003B0A1F">
            <w:pPr>
              <w:rPr>
                <w:rFonts w:ascii="TimesET" w:hAnsi="TimesET"/>
                <w:sz w:val="24"/>
                <w:szCs w:val="24"/>
                <w:lang w:val="en-US"/>
              </w:rPr>
            </w:pPr>
            <w:r w:rsidRPr="00436771">
              <w:rPr>
                <w:rFonts w:ascii="TimesET" w:hAnsi="TimesET"/>
                <w:sz w:val="24"/>
                <w:szCs w:val="24"/>
                <w:lang w:val="en-US"/>
              </w:rPr>
              <w:t>22718</w:t>
            </w:r>
          </w:p>
        </w:tc>
        <w:tc>
          <w:tcPr>
            <w:tcW w:w="851" w:type="dxa"/>
          </w:tcPr>
          <w:p w:rsidR="00550ABC" w:rsidRPr="00436771" w:rsidRDefault="00550ABC">
            <w:pPr>
              <w:rPr>
                <w:rFonts w:ascii="TimesET" w:hAnsi="TimesET"/>
                <w:sz w:val="24"/>
                <w:szCs w:val="24"/>
              </w:rPr>
            </w:pPr>
            <w:r w:rsidRPr="00436771">
              <w:rPr>
                <w:rFonts w:ascii="TimesET" w:hAnsi="TimesET"/>
                <w:sz w:val="24"/>
                <w:szCs w:val="24"/>
              </w:rPr>
              <w:t>21512</w:t>
            </w:r>
          </w:p>
        </w:tc>
        <w:tc>
          <w:tcPr>
            <w:tcW w:w="992" w:type="dxa"/>
          </w:tcPr>
          <w:p w:rsidR="00550ABC" w:rsidRPr="00436771" w:rsidRDefault="003B0A1F">
            <w:pPr>
              <w:rPr>
                <w:sz w:val="24"/>
                <w:szCs w:val="24"/>
              </w:rPr>
            </w:pPr>
            <w:r w:rsidRPr="00436771">
              <w:rPr>
                <w:rFonts w:ascii="TimesET" w:hAnsi="TimesET"/>
                <w:sz w:val="24"/>
                <w:szCs w:val="24"/>
              </w:rPr>
              <w:t>2054</w:t>
            </w:r>
            <w:r w:rsidR="00D17BCD" w:rsidRPr="00436771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550ABC" w:rsidRPr="00436771" w:rsidRDefault="00180096">
            <w:pPr>
              <w:rPr>
                <w:rFonts w:ascii="TimesET" w:hAnsi="TimesET"/>
                <w:sz w:val="24"/>
                <w:szCs w:val="24"/>
              </w:rPr>
            </w:pPr>
            <w:r w:rsidRPr="00436771">
              <w:rPr>
                <w:rFonts w:ascii="TimesET" w:hAnsi="TimesET"/>
                <w:sz w:val="24"/>
                <w:szCs w:val="24"/>
              </w:rPr>
              <w:t>177,3</w:t>
            </w:r>
          </w:p>
        </w:tc>
      </w:tr>
      <w:tr w:rsidR="00550ABC" w:rsidRPr="00245D8C" w:rsidTr="00421056">
        <w:tc>
          <w:tcPr>
            <w:tcW w:w="2660" w:type="dxa"/>
          </w:tcPr>
          <w:p w:rsidR="00550ABC" w:rsidRPr="00436771" w:rsidRDefault="00550ABC">
            <w:pPr>
              <w:rPr>
                <w:rFonts w:ascii="TimesET" w:hAnsi="TimesET"/>
                <w:sz w:val="24"/>
                <w:szCs w:val="24"/>
              </w:rPr>
            </w:pPr>
            <w:r w:rsidRPr="00436771">
              <w:rPr>
                <w:rFonts w:ascii="TimesET" w:hAnsi="TimesET"/>
                <w:sz w:val="24"/>
                <w:szCs w:val="24"/>
              </w:rPr>
              <w:t>Обеспеченность жильем на 1 жителя, м</w:t>
            </w:r>
            <w:proofErr w:type="gramStart"/>
            <w:r w:rsidRPr="00436771">
              <w:rPr>
                <w:rFonts w:ascii="TimesET" w:hAnsi="TimesET"/>
                <w:sz w:val="24"/>
                <w:szCs w:val="24"/>
              </w:rPr>
              <w:t>2</w:t>
            </w:r>
            <w:proofErr w:type="gramEnd"/>
            <w:r w:rsidRPr="00436771">
              <w:rPr>
                <w:rFonts w:ascii="TimesET" w:hAnsi="TimesET"/>
                <w:sz w:val="24"/>
                <w:szCs w:val="24"/>
              </w:rPr>
              <w:t xml:space="preserve"> на человека</w:t>
            </w:r>
          </w:p>
        </w:tc>
        <w:tc>
          <w:tcPr>
            <w:tcW w:w="992" w:type="dxa"/>
          </w:tcPr>
          <w:p w:rsidR="00550ABC" w:rsidRPr="00436771" w:rsidRDefault="00550ABC">
            <w:pPr>
              <w:rPr>
                <w:rFonts w:ascii="TimesET" w:hAnsi="TimesET"/>
                <w:sz w:val="24"/>
                <w:szCs w:val="24"/>
              </w:rPr>
            </w:pPr>
            <w:r w:rsidRPr="00436771">
              <w:rPr>
                <w:rFonts w:ascii="TimesET" w:hAnsi="TimesET"/>
                <w:sz w:val="24"/>
                <w:szCs w:val="24"/>
              </w:rPr>
              <w:t>32,2</w:t>
            </w:r>
          </w:p>
        </w:tc>
        <w:tc>
          <w:tcPr>
            <w:tcW w:w="851" w:type="dxa"/>
          </w:tcPr>
          <w:p w:rsidR="00550ABC" w:rsidRPr="00436771" w:rsidRDefault="003B0A1F">
            <w:pPr>
              <w:rPr>
                <w:rFonts w:ascii="TimesET" w:hAnsi="TimesET"/>
                <w:sz w:val="24"/>
                <w:szCs w:val="24"/>
                <w:lang w:val="en-US"/>
              </w:rPr>
            </w:pPr>
            <w:r w:rsidRPr="00436771">
              <w:rPr>
                <w:rFonts w:ascii="TimesET" w:hAnsi="TimesET"/>
                <w:sz w:val="24"/>
                <w:szCs w:val="24"/>
                <w:lang w:val="en-US"/>
              </w:rPr>
              <w:t>33</w:t>
            </w:r>
            <w:r w:rsidRPr="00436771">
              <w:rPr>
                <w:rFonts w:ascii="TimesET" w:hAnsi="TimesET"/>
                <w:sz w:val="24"/>
                <w:szCs w:val="24"/>
              </w:rPr>
              <w:t>,</w:t>
            </w:r>
            <w:r w:rsidRPr="00436771">
              <w:rPr>
                <w:rFonts w:ascii="TimesET" w:hAnsi="TimesET"/>
                <w:sz w:val="24"/>
                <w:szCs w:val="24"/>
                <w:lang w:val="en-US"/>
              </w:rPr>
              <w:t>8</w:t>
            </w:r>
          </w:p>
        </w:tc>
        <w:tc>
          <w:tcPr>
            <w:tcW w:w="992" w:type="dxa"/>
          </w:tcPr>
          <w:p w:rsidR="00550ABC" w:rsidRPr="00436771" w:rsidRDefault="003B0A1F" w:rsidP="003B0A1F">
            <w:pPr>
              <w:rPr>
                <w:rFonts w:ascii="TimesET" w:hAnsi="TimesET"/>
                <w:sz w:val="24"/>
                <w:szCs w:val="24"/>
                <w:lang w:val="en-US"/>
              </w:rPr>
            </w:pPr>
            <w:r w:rsidRPr="00436771">
              <w:rPr>
                <w:rFonts w:ascii="TimesET" w:hAnsi="TimesET"/>
                <w:sz w:val="24"/>
                <w:szCs w:val="24"/>
                <w:lang w:val="en-US"/>
              </w:rPr>
              <w:t>34</w:t>
            </w:r>
            <w:r w:rsidRPr="00436771">
              <w:rPr>
                <w:rFonts w:ascii="TimesET" w:hAnsi="TimesET"/>
                <w:sz w:val="24"/>
                <w:szCs w:val="24"/>
              </w:rPr>
              <w:t>,</w:t>
            </w:r>
            <w:r w:rsidRPr="00436771">
              <w:rPr>
                <w:rFonts w:ascii="TimesET" w:hAnsi="TimesET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:rsidR="00550ABC" w:rsidRPr="00436771" w:rsidRDefault="003B0A1F">
            <w:pPr>
              <w:rPr>
                <w:sz w:val="24"/>
                <w:szCs w:val="24"/>
              </w:rPr>
            </w:pPr>
            <w:r w:rsidRPr="00436771">
              <w:rPr>
                <w:rFonts w:ascii="TimesET" w:hAnsi="TimesET"/>
                <w:sz w:val="24"/>
                <w:szCs w:val="24"/>
              </w:rPr>
              <w:t>3</w:t>
            </w:r>
            <w:r w:rsidR="00D17BCD" w:rsidRPr="00436771">
              <w:rPr>
                <w:sz w:val="24"/>
                <w:szCs w:val="24"/>
              </w:rPr>
              <w:t>5,1</w:t>
            </w:r>
          </w:p>
        </w:tc>
        <w:tc>
          <w:tcPr>
            <w:tcW w:w="851" w:type="dxa"/>
          </w:tcPr>
          <w:p w:rsidR="00550ABC" w:rsidRPr="00436771" w:rsidRDefault="003B0A1F">
            <w:pPr>
              <w:rPr>
                <w:rFonts w:ascii="TimesET" w:hAnsi="TimesET"/>
                <w:sz w:val="24"/>
                <w:szCs w:val="24"/>
              </w:rPr>
            </w:pPr>
            <w:r w:rsidRPr="00436771">
              <w:rPr>
                <w:rFonts w:ascii="TimesET" w:hAnsi="TimesET"/>
                <w:sz w:val="24"/>
                <w:szCs w:val="24"/>
              </w:rPr>
              <w:t>36,1</w:t>
            </w:r>
          </w:p>
        </w:tc>
        <w:tc>
          <w:tcPr>
            <w:tcW w:w="992" w:type="dxa"/>
          </w:tcPr>
          <w:p w:rsidR="00550ABC" w:rsidRPr="00436771" w:rsidRDefault="003B0A1F">
            <w:pPr>
              <w:rPr>
                <w:rFonts w:ascii="TimesET" w:hAnsi="TimesET"/>
                <w:sz w:val="24"/>
                <w:szCs w:val="24"/>
              </w:rPr>
            </w:pPr>
            <w:r w:rsidRPr="00436771">
              <w:rPr>
                <w:rFonts w:ascii="TimesET" w:hAnsi="TimesET"/>
                <w:sz w:val="24"/>
                <w:szCs w:val="24"/>
              </w:rPr>
              <w:t>34,3</w:t>
            </w:r>
          </w:p>
        </w:tc>
        <w:tc>
          <w:tcPr>
            <w:tcW w:w="1559" w:type="dxa"/>
          </w:tcPr>
          <w:p w:rsidR="00550ABC" w:rsidRPr="00436771" w:rsidRDefault="00180096">
            <w:pPr>
              <w:rPr>
                <w:rFonts w:ascii="TimesET" w:hAnsi="TimesET"/>
                <w:sz w:val="24"/>
                <w:szCs w:val="24"/>
              </w:rPr>
            </w:pPr>
            <w:r w:rsidRPr="00436771">
              <w:rPr>
                <w:rFonts w:ascii="TimesET" w:hAnsi="TimesET"/>
                <w:sz w:val="24"/>
                <w:szCs w:val="24"/>
              </w:rPr>
              <w:t>112,1</w:t>
            </w:r>
          </w:p>
        </w:tc>
      </w:tr>
    </w:tbl>
    <w:p w:rsidR="00646A06" w:rsidRPr="00245D8C" w:rsidRDefault="00646A06">
      <w:pPr>
        <w:rPr>
          <w:rFonts w:ascii="TimesET" w:hAnsi="TimesET"/>
          <w:sz w:val="24"/>
          <w:szCs w:val="24"/>
        </w:rPr>
      </w:pPr>
    </w:p>
    <w:sectPr w:rsidR="00646A06" w:rsidRPr="00245D8C" w:rsidSect="00646A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1097" w:rsidRDefault="00EA1097">
      <w:pPr>
        <w:spacing w:after="0" w:line="240" w:lineRule="auto"/>
      </w:pPr>
      <w:r>
        <w:separator/>
      </w:r>
    </w:p>
  </w:endnote>
  <w:endnote w:type="continuationSeparator" w:id="0">
    <w:p w:rsidR="00EA1097" w:rsidRDefault="00EA10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1097" w:rsidRDefault="00EA1097">
      <w:pPr>
        <w:spacing w:after="0" w:line="240" w:lineRule="auto"/>
      </w:pPr>
      <w:r>
        <w:separator/>
      </w:r>
    </w:p>
  </w:footnote>
  <w:footnote w:type="continuationSeparator" w:id="0">
    <w:p w:rsidR="00EA1097" w:rsidRDefault="00EA10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A06"/>
    <w:rsid w:val="000A07EE"/>
    <w:rsid w:val="00180096"/>
    <w:rsid w:val="001E1697"/>
    <w:rsid w:val="00245D8C"/>
    <w:rsid w:val="00271A83"/>
    <w:rsid w:val="003160B7"/>
    <w:rsid w:val="003B0A1F"/>
    <w:rsid w:val="003D5B33"/>
    <w:rsid w:val="003F412B"/>
    <w:rsid w:val="00421056"/>
    <w:rsid w:val="00436771"/>
    <w:rsid w:val="00516D0D"/>
    <w:rsid w:val="00550ABC"/>
    <w:rsid w:val="00565B72"/>
    <w:rsid w:val="006002AA"/>
    <w:rsid w:val="00646A06"/>
    <w:rsid w:val="00671E7B"/>
    <w:rsid w:val="006C5E2E"/>
    <w:rsid w:val="007874BA"/>
    <w:rsid w:val="007B2703"/>
    <w:rsid w:val="007C2C07"/>
    <w:rsid w:val="007D29EE"/>
    <w:rsid w:val="00813402"/>
    <w:rsid w:val="00871744"/>
    <w:rsid w:val="008F55A8"/>
    <w:rsid w:val="008F7CAD"/>
    <w:rsid w:val="009626E4"/>
    <w:rsid w:val="00986470"/>
    <w:rsid w:val="00A67B54"/>
    <w:rsid w:val="00BA7829"/>
    <w:rsid w:val="00BB0131"/>
    <w:rsid w:val="00BD7ECE"/>
    <w:rsid w:val="00C16F0A"/>
    <w:rsid w:val="00C62426"/>
    <w:rsid w:val="00C822CE"/>
    <w:rsid w:val="00CD6D6C"/>
    <w:rsid w:val="00CE52B6"/>
    <w:rsid w:val="00D17BCD"/>
    <w:rsid w:val="00D41660"/>
    <w:rsid w:val="00EA1097"/>
    <w:rsid w:val="00EA1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646A06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646A06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646A06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646A06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646A06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646A06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646A06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646A06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646A06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646A06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646A06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646A06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646A06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646A06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646A06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646A06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646A06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646A06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646A06"/>
    <w:pPr>
      <w:ind w:left="720"/>
      <w:contextualSpacing/>
    </w:pPr>
  </w:style>
  <w:style w:type="paragraph" w:styleId="a4">
    <w:name w:val="No Spacing"/>
    <w:uiPriority w:val="1"/>
    <w:qFormat/>
    <w:rsid w:val="00646A06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646A06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646A06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646A06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646A06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646A06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646A06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646A0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646A06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646A06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1"/>
    <w:uiPriority w:val="99"/>
    <w:rsid w:val="00646A06"/>
  </w:style>
  <w:style w:type="paragraph" w:customStyle="1" w:styleId="10">
    <w:name w:val="Нижний колонтитул1"/>
    <w:basedOn w:val="a"/>
    <w:link w:val="CaptionChar"/>
    <w:uiPriority w:val="99"/>
    <w:unhideWhenUsed/>
    <w:rsid w:val="00646A06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646A06"/>
  </w:style>
  <w:style w:type="paragraph" w:customStyle="1" w:styleId="12">
    <w:name w:val="Название объекта1"/>
    <w:basedOn w:val="a"/>
    <w:next w:val="a"/>
    <w:uiPriority w:val="35"/>
    <w:semiHidden/>
    <w:unhideWhenUsed/>
    <w:qFormat/>
    <w:rsid w:val="00646A06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0"/>
    <w:uiPriority w:val="99"/>
    <w:rsid w:val="00646A06"/>
  </w:style>
  <w:style w:type="table" w:customStyle="1" w:styleId="TableGridLight">
    <w:name w:val="Table Grid Light"/>
    <w:basedOn w:val="a1"/>
    <w:uiPriority w:val="59"/>
    <w:rsid w:val="00646A0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46A0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646A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46A0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646A0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46A0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46A0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46A0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46A0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46A0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46A0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646A0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46A0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46A0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46A0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46A0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46A0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sid w:val="00646A06"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646A06"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sid w:val="00646A06"/>
    <w:rPr>
      <w:sz w:val="18"/>
    </w:rPr>
  </w:style>
  <w:style w:type="character" w:styleId="ae">
    <w:name w:val="footnote reference"/>
    <w:basedOn w:val="a0"/>
    <w:uiPriority w:val="99"/>
    <w:unhideWhenUsed/>
    <w:rsid w:val="00646A06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646A06"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sid w:val="00646A06"/>
    <w:rPr>
      <w:sz w:val="20"/>
    </w:rPr>
  </w:style>
  <w:style w:type="character" w:styleId="af1">
    <w:name w:val="endnote reference"/>
    <w:basedOn w:val="a0"/>
    <w:uiPriority w:val="99"/>
    <w:semiHidden/>
    <w:unhideWhenUsed/>
    <w:rsid w:val="00646A06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646A06"/>
    <w:pPr>
      <w:spacing w:after="57"/>
    </w:pPr>
  </w:style>
  <w:style w:type="paragraph" w:styleId="22">
    <w:name w:val="toc 2"/>
    <w:basedOn w:val="a"/>
    <w:next w:val="a"/>
    <w:uiPriority w:val="39"/>
    <w:unhideWhenUsed/>
    <w:rsid w:val="00646A06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646A06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646A06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646A06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646A06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646A06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646A06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646A06"/>
    <w:pPr>
      <w:spacing w:after="57"/>
      <w:ind w:left="2268"/>
    </w:pPr>
  </w:style>
  <w:style w:type="paragraph" w:styleId="af2">
    <w:name w:val="TOC Heading"/>
    <w:uiPriority w:val="39"/>
    <w:unhideWhenUsed/>
    <w:rsid w:val="00646A06"/>
  </w:style>
  <w:style w:type="paragraph" w:styleId="af3">
    <w:name w:val="table of figures"/>
    <w:basedOn w:val="a"/>
    <w:next w:val="a"/>
    <w:uiPriority w:val="99"/>
    <w:unhideWhenUsed/>
    <w:rsid w:val="00646A06"/>
    <w:pPr>
      <w:spacing w:after="0"/>
    </w:pPr>
  </w:style>
  <w:style w:type="table" w:styleId="af4">
    <w:name w:val="Table Grid"/>
    <w:basedOn w:val="a1"/>
    <w:uiPriority w:val="59"/>
    <w:rsid w:val="00646A0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646A06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646A06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646A06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646A06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646A06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646A06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646A06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646A06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646A06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646A06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646A06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646A06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646A06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646A06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646A06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646A06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646A06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646A06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646A06"/>
    <w:pPr>
      <w:ind w:left="720"/>
      <w:contextualSpacing/>
    </w:pPr>
  </w:style>
  <w:style w:type="paragraph" w:styleId="a4">
    <w:name w:val="No Spacing"/>
    <w:uiPriority w:val="1"/>
    <w:qFormat/>
    <w:rsid w:val="00646A06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646A06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646A06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646A06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646A06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646A06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646A06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646A0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646A06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646A06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1"/>
    <w:uiPriority w:val="99"/>
    <w:rsid w:val="00646A06"/>
  </w:style>
  <w:style w:type="paragraph" w:customStyle="1" w:styleId="10">
    <w:name w:val="Нижний колонтитул1"/>
    <w:basedOn w:val="a"/>
    <w:link w:val="CaptionChar"/>
    <w:uiPriority w:val="99"/>
    <w:unhideWhenUsed/>
    <w:rsid w:val="00646A06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646A06"/>
  </w:style>
  <w:style w:type="paragraph" w:customStyle="1" w:styleId="12">
    <w:name w:val="Название объекта1"/>
    <w:basedOn w:val="a"/>
    <w:next w:val="a"/>
    <w:uiPriority w:val="35"/>
    <w:semiHidden/>
    <w:unhideWhenUsed/>
    <w:qFormat/>
    <w:rsid w:val="00646A06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0"/>
    <w:uiPriority w:val="99"/>
    <w:rsid w:val="00646A06"/>
  </w:style>
  <w:style w:type="table" w:customStyle="1" w:styleId="TableGridLight">
    <w:name w:val="Table Grid Light"/>
    <w:basedOn w:val="a1"/>
    <w:uiPriority w:val="59"/>
    <w:rsid w:val="00646A0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46A0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646A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46A0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646A0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46A0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46A0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46A0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46A0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46A0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46A0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646A0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46A0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46A0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46A0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46A0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46A06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46A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sid w:val="00646A06"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646A06"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sid w:val="00646A06"/>
    <w:rPr>
      <w:sz w:val="18"/>
    </w:rPr>
  </w:style>
  <w:style w:type="character" w:styleId="ae">
    <w:name w:val="footnote reference"/>
    <w:basedOn w:val="a0"/>
    <w:uiPriority w:val="99"/>
    <w:unhideWhenUsed/>
    <w:rsid w:val="00646A06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646A06"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sid w:val="00646A06"/>
    <w:rPr>
      <w:sz w:val="20"/>
    </w:rPr>
  </w:style>
  <w:style w:type="character" w:styleId="af1">
    <w:name w:val="endnote reference"/>
    <w:basedOn w:val="a0"/>
    <w:uiPriority w:val="99"/>
    <w:semiHidden/>
    <w:unhideWhenUsed/>
    <w:rsid w:val="00646A06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646A06"/>
    <w:pPr>
      <w:spacing w:after="57"/>
    </w:pPr>
  </w:style>
  <w:style w:type="paragraph" w:styleId="22">
    <w:name w:val="toc 2"/>
    <w:basedOn w:val="a"/>
    <w:next w:val="a"/>
    <w:uiPriority w:val="39"/>
    <w:unhideWhenUsed/>
    <w:rsid w:val="00646A06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646A06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646A06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646A06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646A06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646A06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646A06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646A06"/>
    <w:pPr>
      <w:spacing w:after="57"/>
      <w:ind w:left="2268"/>
    </w:pPr>
  </w:style>
  <w:style w:type="paragraph" w:styleId="af2">
    <w:name w:val="TOC Heading"/>
    <w:uiPriority w:val="39"/>
    <w:unhideWhenUsed/>
    <w:rsid w:val="00646A06"/>
  </w:style>
  <w:style w:type="paragraph" w:styleId="af3">
    <w:name w:val="table of figures"/>
    <w:basedOn w:val="a"/>
    <w:next w:val="a"/>
    <w:uiPriority w:val="99"/>
    <w:unhideWhenUsed/>
    <w:rsid w:val="00646A06"/>
    <w:pPr>
      <w:spacing w:after="0"/>
    </w:pPr>
  </w:style>
  <w:style w:type="table" w:styleId="af4">
    <w:name w:val="Table Grid"/>
    <w:basedOn w:val="a1"/>
    <w:uiPriority w:val="59"/>
    <w:rsid w:val="00646A0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Тимофеева Ольга Вениаминовна</dc:creator>
  <cp:lastModifiedBy>Григорьева Вероника Витальевна</cp:lastModifiedBy>
  <cp:revision>2</cp:revision>
  <cp:lastPrinted>2026-02-02T13:51:00Z</cp:lastPrinted>
  <dcterms:created xsi:type="dcterms:W3CDTF">2026-02-02T14:14:00Z</dcterms:created>
  <dcterms:modified xsi:type="dcterms:W3CDTF">2026-02-02T14:14:00Z</dcterms:modified>
</cp:coreProperties>
</file>