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6"/>
        <w:jc w:val="right"/>
        <w:rPr>
          <w:rFonts w:ascii="Arimo" w:hAnsi="Arimo" w:eastAsia="Arimo" w:cs="Arimo"/>
          <w:sz w:val="24"/>
          <w:szCs w:val="24"/>
          <w:highlight w:val="none"/>
        </w:rPr>
      </w:pPr>
      <w:r>
        <w:rPr>
          <w:rFonts w:ascii="Arimo" w:hAnsi="Arimo" w:eastAsia="Arimo" w:cs="Arimo"/>
          <w:sz w:val="24"/>
          <w:szCs w:val="24"/>
        </w:rPr>
        <w:t xml:space="preserve">Приложение №1</w:t>
      </w:r>
      <w:r>
        <w:rPr>
          <w:rFonts w:ascii="Arimo" w:hAnsi="Arimo" w:eastAsia="Arimo" w:cs="Arimo"/>
          <w:sz w:val="24"/>
          <w:szCs w:val="24"/>
          <w:highlight w:val="none"/>
        </w:rPr>
      </w:r>
      <w:r>
        <w:rPr>
          <w:rFonts w:ascii="Arimo" w:hAnsi="Arimo" w:eastAsia="Arimo" w:cs="Arimo"/>
          <w:sz w:val="24"/>
          <w:szCs w:val="24"/>
          <w:highlight w:val="none"/>
        </w:rPr>
      </w:r>
    </w:p>
    <w:p>
      <w:pPr>
        <w:pStyle w:val="666"/>
        <w:jc w:val="right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к протоколу заседания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right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Правительственной комиссии по молодежной политике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right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от 05.08.2025 г. № 3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right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right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right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«УТВЕРЖДЕНО»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right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протоколом заседания Правительственной комиссии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right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по молодежной политике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right"/>
        <w:rPr>
          <w:rFonts w:ascii="Arimo" w:hAnsi="Arimo" w:cs="Arimo"/>
          <w:sz w:val="26"/>
          <w:szCs w:val="26"/>
        </w:rPr>
      </w:pPr>
      <w:r>
        <w:rPr>
          <w:rFonts w:ascii="Arimo" w:hAnsi="Arimo" w:eastAsia="Arimo" w:cs="Arimo"/>
          <w:sz w:val="24"/>
          <w:szCs w:val="24"/>
        </w:rPr>
        <w:t xml:space="preserve">от 05.08.2025 г. № 3 </w:t>
      </w:r>
      <w:r>
        <w:rPr>
          <w:rFonts w:ascii="Arimo" w:hAnsi="Arimo" w:cs="Arimo"/>
          <w:sz w:val="26"/>
          <w:szCs w:val="26"/>
        </w:rPr>
      </w:r>
      <w:r>
        <w:rPr>
          <w:rFonts w:ascii="Arimo" w:hAnsi="Arimo" w:cs="Arimo"/>
          <w:sz w:val="26"/>
          <w:szCs w:val="26"/>
        </w:rPr>
      </w:r>
    </w:p>
    <w:p>
      <w:pPr>
        <w:pStyle w:val="666"/>
        <w:jc w:val="right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center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Об утверждении критериев оценки документов, подтверждающих достижения претендентов на получение специальных стипендий для представителей молодежи и студентов за особую творческую устремленность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Критерии оценки документов претендентов на соискание специальной стипендии за особую творческую устремленность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Единый проходной балл по категориям: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«учащаяся молодежь» – проходной балл «80»;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«работающая молодежь» – проходной балл «50»;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«представители общественных объединений» – проходной балл «60»;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для лиц с ограниченными возможностями здоровья по всем категориям (при наличии подтверждающих документов)  устанавливается коэффициент 2.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center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КАТЕГОРИЯ «УЧАЩАЯСЯ МОЛОДЕЖЬ»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jc w:val="center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jc w:val="center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Подкатегория «Школьники»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1. Претенденты, зарегистрировавшиеся в автоматизированной информационной системе «Молодежь России»</w:t>
      </w:r>
      <w:r>
        <w:rPr>
          <w:rFonts w:ascii="Arimo" w:hAnsi="Arimo" w:eastAsia="Arimo" w:cs="Arimo"/>
          <w:sz w:val="24"/>
          <w:szCs w:val="24"/>
        </w:rPr>
        <w:t xml:space="preserve"> - 5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2. Претенденты, включенные в Государственный информационный ресурс об одаренных детях </w:t>
      </w:r>
      <w:r>
        <w:rPr>
          <w:rFonts w:ascii="Arimo" w:hAnsi="Arimo" w:eastAsia="Arimo" w:cs="Arimo"/>
          <w:sz w:val="24"/>
          <w:szCs w:val="24"/>
        </w:rPr>
        <w:t xml:space="preserve">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3. Претенденты, занявшие призовые места на: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международных олимпиадах по общеобразовательным предметам – 60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всероссийской олимпиаде школьников: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заключительный этап – 50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региональный этап (если ученик принял участие в нескольких олимпиадах, результат учитывается за каждый предмет) 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муниципальный этап (если ученик принял участие в нескольких олимпиадах, результат учитывается за каждый предмет) – 10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4. Претенденты, занявшие призовые места в олимпиадах, соревнованиях, фестивалях, конференциях и других конкурсных мероприятиях, рекомендованных к участию федеральными и территориальными органами исполнительной власти (личное очное участие):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Международного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40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30 б.,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участие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Всероссийского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30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Межрегионального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Республиканского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Муниципального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3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5. Претенденты, занявшие призовые места в олимпиадах, соревнованиях, фестивалях, конференциях и других конкурсных мероприятиях, рекомендованных к участию Минпросвещения России и Минобразования Чувашии (личное ЗАОЧНОЕ участие):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Международного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30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- 7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Всероссийского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Межрегионального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Республиканского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3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6. Претенденты, занявшие призовые места в конкурсных мероприятиях, рекомендованных к участию Минпосвещения России и Минобразования Чувашии  – участие в составе команды (только при наличии подтверждения об участии в составе команды):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Международного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 за 3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Всероссийского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Межрегионального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Республиканского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3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7. Участие в общественной деятельности (оценивается каждый документ из списка, подтверждающий активность претендента в деятельности школьного самоуправления, детской общественной организации, волонтерской и другой социально–направленной деятельности):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является активистом волонтерской группы/организации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является одним из лидеров детской общественной организации муниципального образования 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является одним из лидеров детской общественной организации общеобразовательного учреждения  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8. Успеваемость  за последний год обучения: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«отлично»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«отлично» и «хорошо» 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9. Научно–исследовательская деятельность: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наличие патента/свидетельства на изобретение 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Наличие печатных/электронных публикаций (статей, тезисов) (за каждую печатную/электронную публикацию) в: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Международных печатных/электронных изданиях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Международных печатных/электронных изданиях (в соавторстве) – 18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Всероссийских печатных/электронных изданиях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Всероссийских печатных/электронных изданиях (в соавторстве) – 12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Межрегиональных печатных/электронных изданиях – 12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Межрегиональных печатных/электронных изданиях (в соавторстве) – 8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Республиканских печатных/электронных изданиях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Республиканских печатных/электронных изданиях (в соавторстве)  – 6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Муниципальных печатных/электронных изданиях - 8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Муниципальных печатных/электронных изданиях (в соавторстве) - 4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Внутри образовательной организации, научно–исследовательской организации – 4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Внутри образовательной организации, научно–исследовательской организации (в соавторстве) – 2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10. Сотрудничество с различными структурами: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Благодарственные письма/благодарности именные за плодотворное сотрудничество, в том числе долгосрочное (неоднократное участие и помощь в реализации совместных проектов, мероприятий, акций и т.д.) от: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организаций независимо от организационно–правовой формы и форм собственности – 3б.;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органов исполнительной власти – 8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органов местного самоуправления 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11. Вовлеченность в социальные проекты» (при наличии распечатанной волонтерской книжки с электронного ресурса ЕИС «Добровольцы России» или при предоставлении Волонтерской книжки, выданной Волонтерским центром):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до 100 часов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101-200 часов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свыше 200 часов – 15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наличие авторского проекта (при наличии подтверждающих документов) – 10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12. Прохождение обучения в школах актива, курсах и т.д.: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Всероссийский уровень – 7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Межрегиональный уровень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Республиканский уровень –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13. Наличие удостоверения о награждении знаком отличия Всероссийского ФСК «ГТО» (при наличии документа с указанием года получения):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Золотой знак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Серебряный знак – 7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Бронзовый знак – 4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center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Подкатегория «Студенты и аспиранты»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1. Претенденты, зарегистрировавшиеся в автоматизированной информационной системе «Молодежь России» и имеющие баллы за участие в мероприятиях</w:t>
      </w:r>
      <w:r>
        <w:rPr>
          <w:rFonts w:ascii="Arimo" w:hAnsi="Arimo" w:eastAsia="Arimo" w:cs="Arimo"/>
          <w:sz w:val="24"/>
          <w:szCs w:val="24"/>
        </w:rPr>
        <w:t xml:space="preserve"> - 5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2. Претенденты, занявшие призовые места в олимпиадах и других конкурсных мероприятиях, проводимых органами исполнительной власти/уполномоченными ими организациями: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Очное участие в мероприятиях Международного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45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40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20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Заочное участие в мероприятиях Международного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Очное участие в мероприятиях Всероссийского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15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Заочное участие в мероприятиях Всероссийского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2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Очное участие в мероприятиях Межрегионального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Заочное участие в мероприятиях Межрегионального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7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Очное участие в олимпиадах и других конкурсных мероприятиях Республиканского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Заочное участие в мероприятиях Республиканского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Очное участие в мероприятиях Муниципального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Заочное участие в олимпиадах и других конкурсных мероприятиях Муниципального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3. Претенденты, занявшие призовые места в олимпиадах и других конкурсных мероприятиях, проводимых сторонними организациями (кроме коммерческих организаций):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Очное участие в мероприятиях Международного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10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Заочное участие в мероприятиях Международного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Очное участие в мероприятиях Всероссийского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Заочное участие в мероприятиях Всероссийского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2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Очное участие в мероприятиях Межрегионального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Заочное участие в мероприятиях Межрегионального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Очное участие в мероприятиях Республиканского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Заочное участие в мероприятиях Республиканского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Очное участие в мероприятиях Муниципального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4. Претенденты, занявшие призовые места в конкурсных мероприятиях, в составе команды (только при наличии подтверждения в характеристике об участии в составе команды):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Международного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Всероссийского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- 4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Межрегионального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- 3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Республиканского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 3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- 1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Муниципального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3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5. Научно–исследовательская деятельность: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5.1. Наличие печатных/электронных публикаций (статей, тезисов) (за каждую печатную/электронную публикацию) в:   </w:t>
      </w:r>
      <w:r>
        <w:rPr>
          <w:rFonts w:ascii="Arimo" w:hAnsi="Arimo" w:eastAsia="Arimo" w:cs="Arimo"/>
          <w:sz w:val="24"/>
          <w:szCs w:val="24"/>
        </w:rPr>
        <w:t xml:space="preserve">                    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Международных изданиях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Международных изданиях (в соавторстве) – 18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Всероссийских изданиях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Всероссийских изданиях (в соавторстве) – 12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Межрегиональных изданиях – 12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Межрегиональных изданиях (в соавторстве) – 8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Республиканских изданиях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Республиканских изданиях (в соавторстве)  – 6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Внутри образовательной организации, научно–исследовательской организации – 4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Внутри образовательной организации, научно–исследовательской организации (в соавторстве) – 2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5.2. Наличие печатных/электронных публикаций (статей) в печатных/электронных изданиях, включенных в перечень изданий, рекомендованных Высшей Аттестационной Комиссией (ВАК), Scopus и Web Of Science: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один автор 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 соавторстве – 25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5.3. Издание монографии: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один автор – 50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 соавторстве – 35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5.4. Издание учебно–методического пособия: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один автор – 12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 соавторстве – 10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5.5. Внедрение инноваций в производство (при наличии подтверждающих от предприятия документов):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один автор 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 соавторстве – 10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6. Сотрудничество с различными структурами: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Благодарственные письма именные за плодотворное сотрудничество, в том числе долгосрочное (неоднократное участие и помощь в реализации совместных проектов, мероприятий, акций и т.д.) от: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внутри организации - 1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организаций независимо от организационно–правовой формы и форм собственности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органов местного самоуправления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органов исполнительной власти – 8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7. Вовлеченность в социальные проекты (при наличии распечатанной волонтерской книжки с электронного ресурса ЕИС «Добровольцы России»):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до 100 часов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101-200 часов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свыше 201 часа– 15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8. Победители грантовых конкурсов (при наличии подтверждающих документов):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победитель - 20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участник команды - 10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9. Успеваемость за последний год обучения: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«отлично»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«отлично» и «хорошо» –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9. Прохождение обучения в школах актива, курсах и т.д</w:t>
      </w:r>
      <w:r>
        <w:rPr>
          <w:rFonts w:ascii="Arimo" w:hAnsi="Arimo" w:eastAsia="Arimo" w:cs="Arimo"/>
          <w:sz w:val="24"/>
          <w:szCs w:val="24"/>
        </w:rPr>
        <w:t xml:space="preserve">. –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10. Повышение уровня образования: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Наличие второго и последующих высших образований (за каждое)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Прохождение профессиональной переподготовки – 7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Прохождение курсов повышения квалификации 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11. Наличие удостоверения о награждении знаком, отличия Всероссийского ФСК «ГТО» (при наличии документа с указанием года получения):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золотой знак – 15 б.,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серебряный знак – 10 б.,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бронзовый знак 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12. Наличие спортивных званий и разрядов: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мастер спорта – 15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кандидат в мастера спорта – 12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первый спортивный разряд – 10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второй спортивный разряд – 9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третий спортивный разряд – 8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первый юношеский спортивный разряд – 7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второй юношеский спортивный разряд – 6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третий юношеский спортивный разряд 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center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КАТЕГОРИЯ «РАБОТАЮЩАЯ МОЛОДЕЖЬ»: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1. Претенденты, зарегистрировавшиеся в автоматизированной информационной системе «Молодежь России» и имеющие баллы за участие в мероприятиях</w:t>
      </w:r>
      <w:r>
        <w:rPr>
          <w:rFonts w:ascii="Arimo" w:hAnsi="Arimo" w:eastAsia="Arimo" w:cs="Arimo"/>
          <w:sz w:val="24"/>
          <w:szCs w:val="24"/>
        </w:rPr>
        <w:t xml:space="preserve"> - 5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2. Наличие государственных, ведомственных наград, поощрений от работодателя, а также благодарственные письма от организаций независимо от организационно-правовой формы и форм собственности: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Почетная грамота: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федерального уровня 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республиканского уровня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муниципального уровня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внутриведомственная награда 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Благодарности (благодарственные письма):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федерального уровня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межрегионального уровня - 13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республиканского уровня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муниципального уровня – 7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независимо от организационно-правовой формы собственности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внутриведомственная награда –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3. Претенденты, занявшие призовые места в олимпиадах, соревнованиях, фестивалях, конференциях и других конкурсных мероприятиях, проводимых органами исполнительной власти/уполномоченными ими организациями: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Очное участие в мероприятиях Международного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45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40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20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Заочное участие в мероприятиях Международного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Очное участие в мероприятиях Всероссийского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15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Заочное участие в мероприятиях Всероссийского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Очное участие в мероприятиях Межрегионального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- 2 б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Заочное участие в мероприятиях Межрегионального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Очное участие в мероприятиях Республиканского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Заочное участие в мероприятиях Республиканского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Очное участие в мероприятиях Муниципального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Внутри организации (личное очное участие):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2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4. Претенденты занявшие призовые места в олимпиадах, соревнованиях, фестивалях, конференциях и других конкурсных мероприятиях, проводимых сторонними организациями: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Международного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Всероссийского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Межрегионального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Республиканского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3 б;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Муниципального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3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2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5. Претенденты, занявшие призовые места в конкурсных мероприятиях – участие в составе команды (только при наличии подтверждения в характеристике об участии в составе команды):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Международного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- 7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Всероссийского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Межрегионального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Республиканского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Муниципального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3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2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6. Научно–исследовательская деятельность: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6.1. Наличие печатных/электронных публикаций (статей, тезисов) (за каждую печатную/электронную публикацию) в: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Международных изданиях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Международных изданиях (в соавторстве) – 18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Всероссийских изданиях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Всероссийских изданиях (в соавторстве) – 12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Межрегиональных изданиях – 12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Межрегиональных изданиях (в соавторстве) – 8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Республиканских изданиях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Республиканских изданиях (в соавторстве)  – 6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Внутри образовательной организации высшего профессионального образования, научно–исследовательской организации – 4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Внутри образовательной организации высшего профессионального образования, научно–исследовательской организации (в соавторстве) – 2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6.2. Наличие печатных/электронных публикаций (статей) в печатном/электронном издании включенных  в перечень изданий рекомендованных Высшей Аттестационной Комиссией (ВАК), Scopus и Web Of Science: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один автор 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 соавторстве – 25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6.3. Издание монографии: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один автор – 50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 соавторстве – 35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6.4. Издание учебно–методического пособия: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один автор – 12 б.;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 соавторстве – 10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6.5. Внедрение инноваций в производство (при наличии подтверждающих от предприятия документов):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один автор 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 соавторстве – 10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7. Участие в деятельности общественного объединения (при наличии подтверждающих членство документов) – 2 б.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8. Документы, подтверждающие участие в конференциях, слетах, форумах по линии деятельности организации, а также рекомендованных к проведению органами исполнительной власти/уполномоченными ими организациями: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Всероссийского уровня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Межрегионального уровня –  4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Республиканского уровня – 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Муниципального уровня –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9. Прохождение обучения в школах актива, курсах и т.д. – 5 б.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10. Вовлеченность в социальные проекты» (при наличии распечатанной волонтерской книжки с электронного ресурса ЕИС «Добровольцы России»: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до 100 часов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101-200 часов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свыше 201 часа– 15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10.1. Участие в грантовых конкурсах (при наличии подтверждающих документов):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b w:val="0"/>
          <w:bCs w:val="0"/>
          <w:sz w:val="24"/>
          <w:szCs w:val="24"/>
        </w:rPr>
      </w:pPr>
      <w:r>
        <w:rPr>
          <w:rFonts w:ascii="Arimo" w:hAnsi="Arimo" w:eastAsia="Arimo" w:cs="Arimo"/>
          <w:b w:val="0"/>
          <w:bCs w:val="0"/>
          <w:sz w:val="24"/>
          <w:szCs w:val="24"/>
        </w:rPr>
        <w:t xml:space="preserve">победитель - 20 б.;</w:t>
      </w:r>
      <w:r>
        <w:rPr>
          <w:rFonts w:ascii="Arimo" w:hAnsi="Arimo" w:cs="Arimo"/>
          <w:b w:val="0"/>
          <w:bCs w:val="0"/>
          <w:sz w:val="24"/>
          <w:szCs w:val="24"/>
        </w:rPr>
      </w:r>
      <w:r>
        <w:rPr>
          <w:rFonts w:ascii="Arimo" w:hAnsi="Arimo" w:cs="Arimo"/>
          <w:b w:val="0"/>
          <w:bCs w:val="0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участник команды - 10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11. Получение образования (учитывается последний уровень образования):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наличие диплома об окончании специалитета (магистратуры) - 15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наличие диплома об окончании образовательной организации высшего образования (бакалавриат) - 10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наличие диплома об окончании профессиональной образовательной организации - 10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 случае совмещения работы с учебой (при наличии документов, подтверждающих прохождение обучения) - 5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12. Повышение уровня образования (при наличии документа установленного образца):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наличие ученой степени 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наличие второго и последующих высших образований  (за каждое)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прохождение профессиональной переподготовки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прохождение курсов повышения квалификации – 7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13. Наличие удостоверения о награждении знаком отличия Всероссийского ФСК «ГТО» (при наличии документа с указанием года получения):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золотой знак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серебряный знак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бронзовый знак 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14. Наличие спортивных званий и разрядов: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мастер спорта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кандидат в мастера спорта – 12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первый спортивный разряд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второй спортивный разряд – 9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третий спортивный разряд – 8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первый юношеский спортивный разряд – 7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второй юношеский спортивный разряд – 6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третий юношеский спортивный разряд 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center"/>
        <w:rPr>
          <w:rFonts w:ascii="Arimo" w:hAnsi="Arimo" w:cs="Arimo"/>
          <w:b/>
          <w:bCs/>
          <w:sz w:val="24"/>
          <w:szCs w:val="24"/>
          <w:highlight w:val="none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КАТЕГОРИЯ «ПРЕДСТАВИТЕЛИ ОБЩЕСТВЕННЫХ ОБЪЕДИНЕНИЙ»</w:t>
      </w:r>
      <w:r>
        <w:rPr>
          <w:rFonts w:ascii="Arimo" w:hAnsi="Arimo" w:cs="Arimo"/>
          <w:b/>
          <w:bCs/>
          <w:sz w:val="24"/>
          <w:szCs w:val="24"/>
          <w:highlight w:val="none"/>
        </w:rPr>
      </w:r>
      <w:r>
        <w:rPr>
          <w:rFonts w:ascii="Arimo" w:hAnsi="Arimo" w:cs="Arimo"/>
          <w:b/>
          <w:bCs/>
          <w:sz w:val="24"/>
          <w:szCs w:val="24"/>
          <w:highlight w:val="none"/>
        </w:rPr>
      </w:r>
    </w:p>
    <w:p>
      <w:pPr>
        <w:jc w:val="center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  <w:highlight w:val="none"/>
        </w:rPr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1. Претенденты, зарегистрировавшиеся в автоматизированной информационной системе «Молодежь России» и имеющие баллы за участие в мероприятиях</w:t>
      </w:r>
      <w:r>
        <w:rPr>
          <w:rFonts w:ascii="Arimo" w:hAnsi="Arimo" w:eastAsia="Arimo" w:cs="Arimo"/>
          <w:sz w:val="24"/>
          <w:szCs w:val="24"/>
        </w:rPr>
        <w:t xml:space="preserve"> - 5 б.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2. Наличие государственных, ведомственных наград и поощрений от работодателя, а также благодарственные письма от организаций независимо от организационно-правовой формы и форм собственности: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Почетная грамота: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федерального уровня 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республиканского уровня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муниципального уровня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внутриведомственная награда 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Благодарности (благодарственные письма):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федерального уровня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межрегионального уровня - 13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республиканского уровня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муниципального уровня – 7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от организаций независимо от организационно-правовой формы собственности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- внутриведомственная награда –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3. Претенденты, занявшие призовые места в олимпиадах и других конкурсных мероприятиях, проводимых органами исполнительной власти/уполномоченными ими организациями (личное очное участие):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Международного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45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40 б.; участие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Всероссийского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30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 20 б.; 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участие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Межрегионального уровня: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Республиканского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Муниципального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 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Внутри организации: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3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2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4. Претенденты, занявшие призовые места в олимпиадах и других конкурсных мероприятиях, проводимых органами исполнительной власти/уполномоченными организациями (личное заочное участие):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Международного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участие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Всероссийского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Межрегионального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Республиканского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5. Претенденты, занявшие призовые места в олимпиадах, соревнованиях, фестивалях, конференциях и других конкурсных мероприятиях, проводимых сторонними организациями: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Международного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участие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Всероссийского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Межрегионального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Республиканского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3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6. Претенденты, занявшие призовые места в конкурсных мероприятиях,  в составе команды (только при наличии подтверждения в характеристике об участии в составе команды):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Международного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- 7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Всероссийского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Межрегионального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Республиканского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10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 3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участие - 1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Муниципального уровня: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5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3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Во внутренних конкурсах организации: 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1 место – 2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2 место – 1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за 3 место –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7. Научно–исследовательская деятельность: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7.1. Наличие печатных/электронных публикаций (статей, тезисов) (за каждую печатную/электронную публикацию) в:       </w:t>
      </w:r>
      <w:r>
        <w:rPr>
          <w:rFonts w:ascii="Arimo" w:hAnsi="Arimo" w:eastAsia="Arimo" w:cs="Arimo"/>
          <w:sz w:val="24"/>
          <w:szCs w:val="24"/>
        </w:rPr>
        <w:t xml:space="preserve">                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Международных изданиях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Международных изданиях (в соавторстве) – 18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Всероссийских изданиях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Всероссийских изданиях (в соавторстве) – 12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Межрегиональных изданиях – 12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Межрегиональных изданиях (в соавторстве) – 8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Республиканских изданиях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Республиканских изданиях (в соавторстве)  – 6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Внутри образовательной организации высшего профессионального образования, научно–исследовательской организации – 4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Внутри образовательной организации высшего профессионального образования, научно–исследовательской организации (в соавторстве) – 2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7.2. Наличие печатных/электронных публикаций (статей) в печатном/электронном издании включенных  в перечень изданий рекомендованных Высшей Аттестационной Комиссией (ВАК), Scopus и Web Of Science: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один автор 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 соавторстве – 25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7.3. Издание монографии: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один автор– 50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 соавторстве - 35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7.4. Издание учебно–методического пособия: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один автор – 12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 соавторстве – 10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7.5. Внедрение инноваций в производство (при наличии подтверждающих от предприятия документов):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один автор–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 соавторстве - 10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8. Документы, подтверждающие участие в конференциях, слетах, форумах по линии деятельности организации, а также рекомендованных к проведению органами исполнительной власти/уполномоченными ими организациями: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Всероссийского уровня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Межрегионального уровня –  4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Республиканского уровня – 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Муниципального уровня – 1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9. Прохождение обучения в школах актива, курсах и т.д</w:t>
      </w:r>
      <w:r>
        <w:rPr>
          <w:rFonts w:ascii="Arimo" w:hAnsi="Arimo" w:eastAsia="Arimo" w:cs="Arimo"/>
          <w:sz w:val="24"/>
          <w:szCs w:val="24"/>
        </w:rPr>
        <w:t xml:space="preserve">. –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10. Вовлеченность в социальные проекты» (при наличии распечатанной волонтерской книжки с электронного ресурса ЕИС «Добровольцы России»):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до 100 часов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101-200 часов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свыше 201 часов – 15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10.1. Участие в грантовых конкурсах (при наличии подтверждающих документов):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Победитель - 20 б.;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участник команды - 10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11. Успеваемость (для учащихся) за последний год обучения: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«отлично» – 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«отлично» и «хорошо» – 3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12. Повышение уровня образования: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наличие ученой степени – 30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наличие второго и последующих высших образований (за каждое) – 20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прохождение профессиональной переподготовки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прохождение курсов повышения квалификации – 7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13. Наличие удостоверения о награждении знаком, отличия Всероссийского ФСК «ГТО» (при наличии документа с указанием года получения):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золотой знак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серебряный знак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бронзовый знак 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b/>
          <w:bCs/>
          <w:sz w:val="24"/>
          <w:szCs w:val="24"/>
        </w:rPr>
      </w:pPr>
      <w:r>
        <w:rPr>
          <w:rFonts w:ascii="Arimo" w:hAnsi="Arimo" w:eastAsia="Arimo" w:cs="Arimo"/>
          <w:b/>
          <w:bCs/>
          <w:sz w:val="24"/>
          <w:szCs w:val="24"/>
        </w:rPr>
        <w:t xml:space="preserve">14. Наличие спортивных званий и разрядов:</w:t>
      </w:r>
      <w:r>
        <w:rPr>
          <w:rFonts w:ascii="Arimo" w:hAnsi="Arimo" w:cs="Arimo"/>
          <w:b/>
          <w:bCs/>
          <w:sz w:val="24"/>
          <w:szCs w:val="24"/>
        </w:rPr>
      </w:r>
      <w:r>
        <w:rPr>
          <w:rFonts w:ascii="Arimo" w:hAnsi="Arimo" w:cs="Arimo"/>
          <w:b/>
          <w:bCs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мастер спорта – 15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кандидат в мастера спорта – 12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первый спортивный разряд – 10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второй спортивный разряд – 9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третий спортивный разряд – 8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первый юношеский спортивный разряд – 7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второй юношеский спортивный разряд – 6 б.;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  <w:t xml:space="preserve">третий юношеский спортивный разряд – 5 б.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666"/>
        <w:jc w:val="both"/>
        <w:rPr>
          <w:rFonts w:ascii="Arimo" w:hAnsi="Arimo" w:cs="Arimo"/>
          <w:i/>
          <w:iCs/>
          <w:sz w:val="24"/>
          <w:szCs w:val="24"/>
        </w:rPr>
      </w:pPr>
      <w:r>
        <w:rPr>
          <w:rFonts w:ascii="Arimo" w:hAnsi="Arimo" w:eastAsia="Arimo" w:cs="Arimo"/>
          <w:i/>
          <w:iCs/>
          <w:sz w:val="24"/>
          <w:szCs w:val="24"/>
        </w:rPr>
        <w:t xml:space="preserve">Наличие реквизитов (дата, номер) нормативно правового акта в соответствии с которым присуждается наградной материал (свидетельство, диплом и т.д.) обязательно.</w:t>
      </w:r>
      <w:r>
        <w:rPr>
          <w:rFonts w:ascii="Arimo" w:hAnsi="Arimo" w:cs="Arimo"/>
          <w:i/>
          <w:iCs/>
          <w:sz w:val="24"/>
          <w:szCs w:val="24"/>
        </w:rPr>
      </w:r>
      <w:r>
        <w:rPr>
          <w:rFonts w:ascii="Arimo" w:hAnsi="Arimo" w:cs="Arimo"/>
          <w:i/>
          <w:iCs/>
          <w:sz w:val="24"/>
          <w:szCs w:val="24"/>
        </w:rPr>
      </w:r>
    </w:p>
    <w:sectPr>
      <w:footnotePr/>
      <w:endnotePr/>
      <w:type w:val="nextPage"/>
      <w:pgSz w:w="11906" w:h="16838" w:orient="portrait"/>
      <w:pgMar w:top="568" w:right="850" w:bottom="709" w:left="1701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Verdana">
    <w:panose1 w:val="020B0604030504040204"/>
  </w:font>
  <w:font w:name="Noto Sans Devanagari">
    <w:panose1 w:val="020B0502040504020204"/>
  </w:font>
  <w:font w:name="Georgia">
    <w:panose1 w:val="02040503050406030204"/>
  </w:font>
  <w:font w:name="Arimo">
    <w:panose1 w:val="020B0604020202020204"/>
  </w:font>
  <w:font w:name="Courier New">
    <w:panose1 w:val="020704090202050204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5" w:hanging="705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6674" w:hanging="7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5" w:hanging="705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6674" w:hanging="7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5" w:hanging="705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6674" w:hanging="7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5" w:hanging="705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6674" w:hanging="7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667">
    <w:name w:val="Heading 1"/>
    <w:basedOn w:val="666"/>
    <w:qFormat/>
    <w:pPr>
      <w:spacing w:beforeAutospacing="1" w:afterAutospacing="1"/>
      <w:outlineLvl w:val="0"/>
    </w:pPr>
    <w:rPr>
      <w:b/>
      <w:bCs/>
      <w:sz w:val="48"/>
      <w:szCs w:val="48"/>
    </w:rPr>
  </w:style>
  <w:style w:type="paragraph" w:styleId="668">
    <w:name w:val="Heading 2"/>
    <w:basedOn w:val="666"/>
    <w:uiPriority w:val="9"/>
    <w:unhideWhenUsed/>
    <w:qFormat/>
    <w:pPr>
      <w:keepLines/>
      <w:keepNext/>
      <w:spacing w:before="360" w:after="80" w:line="276" w:lineRule="auto"/>
      <w:outlineLvl w:val="1"/>
    </w:pPr>
    <w:rPr>
      <w:rFonts w:ascii="Calibri" w:hAnsi="Calibri" w:eastAsia="Calibri" w:cs="Calibri"/>
      <w:b/>
      <w:sz w:val="36"/>
      <w:szCs w:val="36"/>
    </w:rPr>
  </w:style>
  <w:style w:type="paragraph" w:styleId="669">
    <w:name w:val="Heading 3"/>
    <w:basedOn w:val="666"/>
    <w:uiPriority w:val="9"/>
    <w:unhideWhenUsed/>
    <w:qFormat/>
    <w:pPr>
      <w:keepLines/>
      <w:keepNext/>
      <w:spacing w:before="280" w:after="80" w:line="276" w:lineRule="auto"/>
      <w:outlineLvl w:val="2"/>
    </w:pPr>
    <w:rPr>
      <w:rFonts w:ascii="Calibri" w:hAnsi="Calibri" w:eastAsia="Calibri" w:cs="Calibri"/>
      <w:b/>
      <w:sz w:val="28"/>
      <w:szCs w:val="28"/>
    </w:rPr>
  </w:style>
  <w:style w:type="paragraph" w:styleId="670">
    <w:name w:val="Heading 4"/>
    <w:basedOn w:val="666"/>
    <w:uiPriority w:val="9"/>
    <w:unhideWhenUsed/>
    <w:qFormat/>
    <w:pPr>
      <w:keepLines/>
      <w:keepNext/>
      <w:spacing w:before="240" w:after="40" w:line="276" w:lineRule="auto"/>
      <w:outlineLvl w:val="3"/>
    </w:pPr>
    <w:rPr>
      <w:rFonts w:ascii="Calibri" w:hAnsi="Calibri" w:eastAsia="Calibri" w:cs="Calibri"/>
      <w:b/>
    </w:rPr>
  </w:style>
  <w:style w:type="paragraph" w:styleId="671">
    <w:name w:val="Heading 5"/>
    <w:basedOn w:val="666"/>
    <w:uiPriority w:val="9"/>
    <w:unhideWhenUsed/>
    <w:qFormat/>
    <w:pPr>
      <w:keepLines/>
      <w:keepNext/>
      <w:spacing w:before="220" w:after="40" w:line="276" w:lineRule="auto"/>
      <w:outlineLvl w:val="4"/>
    </w:pPr>
    <w:rPr>
      <w:rFonts w:ascii="Calibri" w:hAnsi="Calibri" w:eastAsia="Calibri" w:cs="Calibri"/>
      <w:b/>
      <w:sz w:val="22"/>
      <w:szCs w:val="22"/>
    </w:rPr>
  </w:style>
  <w:style w:type="paragraph" w:styleId="672">
    <w:name w:val="Heading 6"/>
    <w:basedOn w:val="666"/>
    <w:uiPriority w:val="9"/>
    <w:unhideWhenUsed/>
    <w:qFormat/>
    <w:pPr>
      <w:keepLines/>
      <w:keepNext/>
      <w:spacing w:before="200" w:after="40" w:line="276" w:lineRule="auto"/>
      <w:outlineLvl w:val="5"/>
    </w:pPr>
    <w:rPr>
      <w:rFonts w:ascii="Calibri" w:hAnsi="Calibri" w:eastAsia="Calibri" w:cs="Calibri"/>
      <w:b/>
      <w:sz w:val="20"/>
      <w:szCs w:val="20"/>
    </w:rPr>
  </w:style>
  <w:style w:type="paragraph" w:styleId="673">
    <w:name w:val="Heading 7"/>
    <w:basedOn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66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5">
    <w:name w:val="Heading 9"/>
    <w:basedOn w:val="66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6" w:default="1">
    <w:name w:val="Default Paragraph Font"/>
    <w:uiPriority w:val="1"/>
    <w:unhideWhenUsed/>
    <w:qFormat/>
  </w:style>
  <w:style w:type="character" w:styleId="677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78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679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80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81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82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83" w:customStyle="1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84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85" w:customStyle="1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86" w:customStyle="1">
    <w:name w:val="Title Char"/>
    <w:uiPriority w:val="10"/>
    <w:qFormat/>
    <w:rPr>
      <w:sz w:val="48"/>
      <w:szCs w:val="48"/>
    </w:rPr>
  </w:style>
  <w:style w:type="character" w:styleId="687" w:customStyle="1">
    <w:name w:val="Subtitle Char"/>
    <w:uiPriority w:val="11"/>
    <w:qFormat/>
    <w:rPr>
      <w:sz w:val="24"/>
      <w:szCs w:val="24"/>
    </w:rPr>
  </w:style>
  <w:style w:type="character" w:styleId="688" w:customStyle="1">
    <w:name w:val="Quote Char"/>
    <w:uiPriority w:val="29"/>
    <w:qFormat/>
    <w:rPr>
      <w:i/>
    </w:rPr>
  </w:style>
  <w:style w:type="character" w:styleId="689" w:customStyle="1">
    <w:name w:val="Intense Quote Char"/>
    <w:uiPriority w:val="30"/>
    <w:qFormat/>
    <w:rPr>
      <w:i/>
    </w:rPr>
  </w:style>
  <w:style w:type="character" w:styleId="690" w:customStyle="1">
    <w:name w:val="Header Char"/>
    <w:uiPriority w:val="99"/>
    <w:qFormat/>
  </w:style>
  <w:style w:type="character" w:styleId="691" w:customStyle="1">
    <w:name w:val="Footer Char"/>
    <w:uiPriority w:val="99"/>
    <w:qFormat/>
  </w:style>
  <w:style w:type="character" w:styleId="692" w:customStyle="1">
    <w:name w:val="Caption Char"/>
    <w:uiPriority w:val="99"/>
    <w:qFormat/>
  </w:style>
  <w:style w:type="character" w:styleId="693">
    <w:name w:val="Hyperlink"/>
    <w:uiPriority w:val="99"/>
    <w:qFormat/>
    <w:rPr>
      <w:rFonts w:cs="Times New Roman"/>
      <w:color w:val="0066cc"/>
      <w:u w:val="none"/>
    </w:rPr>
  </w:style>
  <w:style w:type="character" w:styleId="694" w:customStyle="1">
    <w:name w:val="Footnote Text Char"/>
    <w:uiPriority w:val="99"/>
    <w:qFormat/>
    <w:rPr>
      <w:sz w:val="18"/>
    </w:rPr>
  </w:style>
  <w:style w:type="character" w:styleId="695" w:customStyle="1">
    <w:name w:val="Символ сноски"/>
    <w:uiPriority w:val="99"/>
    <w:unhideWhenUsed/>
    <w:qFormat/>
    <w:rPr>
      <w:vertAlign w:val="superscript"/>
    </w:rPr>
  </w:style>
  <w:style w:type="character" w:styleId="696">
    <w:name w:val="footnote reference"/>
    <w:rPr>
      <w:vertAlign w:val="superscript"/>
    </w:rPr>
  </w:style>
  <w:style w:type="character" w:styleId="697" w:customStyle="1">
    <w:name w:val="Endnote Text Char"/>
    <w:uiPriority w:val="99"/>
    <w:qFormat/>
    <w:rPr>
      <w:sz w:val="20"/>
    </w:rPr>
  </w:style>
  <w:style w:type="character" w:styleId="698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99">
    <w:name w:val="endnote reference"/>
    <w:rPr>
      <w:vertAlign w:val="superscript"/>
    </w:rPr>
  </w:style>
  <w:style w:type="character" w:styleId="700" w:customStyle="1">
    <w:name w:val="Верхний колонтитул Знак"/>
    <w:uiPriority w:val="99"/>
    <w:qFormat/>
    <w:rPr>
      <w:rFonts w:ascii="Times New Roman" w:hAnsi="Times New Roman" w:cs="Times New Roman"/>
      <w:sz w:val="24"/>
      <w:szCs w:val="24"/>
      <w:lang w:eastAsia="ru-RU"/>
    </w:rPr>
  </w:style>
  <w:style w:type="character" w:styleId="701">
    <w:name w:val="page number"/>
    <w:uiPriority w:val="99"/>
    <w:qFormat/>
    <w:rPr>
      <w:rFonts w:cs="Times New Roman"/>
    </w:rPr>
  </w:style>
  <w:style w:type="character" w:styleId="702" w:customStyle="1">
    <w:name w:val="Основной текст с отступом Знак"/>
    <w:uiPriority w:val="99"/>
    <w:qFormat/>
    <w:rPr>
      <w:rFonts w:ascii="Times New Roman" w:hAnsi="Times New Roman" w:cs="Times New Roman"/>
      <w:sz w:val="24"/>
      <w:szCs w:val="24"/>
      <w:lang w:eastAsia="ru-RU"/>
    </w:rPr>
  </w:style>
  <w:style w:type="character" w:styleId="703" w:customStyle="1">
    <w:name w:val="Название Знак"/>
    <w:qFormat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styleId="704" w:customStyle="1">
    <w:name w:val="Font Style23"/>
    <w:uiPriority w:val="99"/>
    <w:qFormat/>
    <w:rPr>
      <w:rFonts w:ascii="Times New Roman" w:hAnsi="Times New Roman" w:cs="Times New Roman"/>
      <w:sz w:val="26"/>
      <w:szCs w:val="26"/>
    </w:rPr>
  </w:style>
  <w:style w:type="character" w:styleId="705" w:customStyle="1">
    <w:name w:val="Текст выноски Знак"/>
    <w:uiPriority w:val="99"/>
    <w:semiHidden/>
    <w:qFormat/>
    <w:rPr>
      <w:rFonts w:ascii="Tahoma" w:hAnsi="Tahoma" w:cs="Tahoma"/>
      <w:sz w:val="16"/>
      <w:szCs w:val="16"/>
      <w:lang w:eastAsia="ru-RU"/>
    </w:rPr>
  </w:style>
  <w:style w:type="character" w:styleId="706" w:customStyle="1">
    <w:name w:val="Основной текст Знак"/>
    <w:uiPriority w:val="99"/>
    <w:qFormat/>
    <w:rPr>
      <w:rFonts w:ascii="Times New Roman" w:hAnsi="Times New Roman" w:cs="Times New Roman"/>
      <w:sz w:val="24"/>
      <w:szCs w:val="24"/>
      <w:lang w:eastAsia="ru-RU"/>
    </w:rPr>
  </w:style>
  <w:style w:type="character" w:styleId="707" w:customStyle="1">
    <w:name w:val="Основной текст с отступом 2 Знак"/>
    <w:qFormat/>
    <w:rPr>
      <w:rFonts w:ascii="Times New Roman" w:hAnsi="Times New Roman" w:cs="Times New Roman"/>
      <w:sz w:val="24"/>
      <w:szCs w:val="24"/>
      <w:lang w:eastAsia="ru-RU"/>
    </w:rPr>
  </w:style>
  <w:style w:type="character" w:styleId="708">
    <w:name w:val="Strong"/>
    <w:uiPriority w:val="99"/>
    <w:qFormat/>
    <w:rPr>
      <w:rFonts w:cs="Times New Roman"/>
      <w:b/>
      <w:bCs/>
    </w:rPr>
  </w:style>
  <w:style w:type="character" w:styleId="709" w:customStyle="1">
    <w:name w:val="Основной текст с отступом 3 Знак"/>
    <w:qFormat/>
    <w:rPr>
      <w:rFonts w:ascii="Times New Roman" w:hAnsi="Times New Roman" w:eastAsia="Times New Roman"/>
      <w:sz w:val="16"/>
      <w:szCs w:val="16"/>
    </w:rPr>
  </w:style>
  <w:style w:type="character" w:styleId="710" w:customStyle="1">
    <w:name w:val="Нижний колонтитул Знак"/>
    <w:uiPriority w:val="99"/>
    <w:qFormat/>
    <w:rPr>
      <w:rFonts w:ascii="Times New Roman" w:hAnsi="Times New Roman" w:eastAsia="Times New Roman"/>
      <w:sz w:val="24"/>
      <w:szCs w:val="24"/>
    </w:rPr>
  </w:style>
  <w:style w:type="character" w:styleId="711" w:customStyle="1">
    <w:name w:val="Гипертекстовая ссылка"/>
    <w:uiPriority w:val="99"/>
    <w:qFormat/>
    <w:rPr>
      <w:b/>
      <w:bCs/>
      <w:color w:val="106bbe"/>
    </w:rPr>
  </w:style>
  <w:style w:type="character" w:styleId="712" w:customStyle="1">
    <w:name w:val="Заголовок 1 Знак"/>
    <w:qFormat/>
    <w:rPr>
      <w:rFonts w:ascii="Times New Roman" w:hAnsi="Times New Roman" w:eastAsia="Times New Roman"/>
      <w:b/>
      <w:bCs/>
      <w:sz w:val="48"/>
      <w:szCs w:val="48"/>
    </w:rPr>
  </w:style>
  <w:style w:type="character" w:styleId="713" w:customStyle="1">
    <w:name w:val="Стандартный HTML Знак"/>
    <w:uiPriority w:val="99"/>
    <w:qFormat/>
    <w:rPr>
      <w:rFonts w:ascii="Courier New" w:hAnsi="Courier New" w:eastAsia="Times New Roman"/>
      <w:lang w:val="en-US"/>
    </w:rPr>
  </w:style>
  <w:style w:type="character" w:styleId="714" w:customStyle="1">
    <w:name w:val="Красная строка Знак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15" w:customStyle="1">
    <w:name w:val="Заголовок 2 Знак"/>
    <w:qFormat/>
    <w:rPr>
      <w:rFonts w:cs="Calibri"/>
      <w:b/>
      <w:sz w:val="36"/>
      <w:szCs w:val="36"/>
    </w:rPr>
  </w:style>
  <w:style w:type="character" w:styleId="716" w:customStyle="1">
    <w:name w:val="Заголовок 3 Знак"/>
    <w:qFormat/>
    <w:rPr>
      <w:rFonts w:cs="Calibri"/>
      <w:b/>
      <w:sz w:val="28"/>
      <w:szCs w:val="28"/>
    </w:rPr>
  </w:style>
  <w:style w:type="character" w:styleId="717" w:customStyle="1">
    <w:name w:val="Заголовок 4 Знак"/>
    <w:qFormat/>
    <w:rPr>
      <w:rFonts w:cs="Calibri"/>
      <w:b/>
      <w:sz w:val="24"/>
      <w:szCs w:val="24"/>
    </w:rPr>
  </w:style>
  <w:style w:type="character" w:styleId="718" w:customStyle="1">
    <w:name w:val="Заголовок 5 Знак"/>
    <w:qFormat/>
    <w:rPr>
      <w:rFonts w:cs="Calibri"/>
      <w:b/>
      <w:sz w:val="22"/>
      <w:szCs w:val="22"/>
    </w:rPr>
  </w:style>
  <w:style w:type="character" w:styleId="719" w:customStyle="1">
    <w:name w:val="Заголовок 6 Знак"/>
    <w:qFormat/>
    <w:rPr>
      <w:rFonts w:cs="Calibri"/>
      <w:b/>
    </w:rPr>
  </w:style>
  <w:style w:type="character" w:styleId="720" w:customStyle="1">
    <w:name w:val="SB_Титул Знак"/>
    <w:qFormat/>
    <w:rPr>
      <w:rFonts w:ascii="Times New Roman" w:hAnsi="Times New Roman"/>
      <w:b/>
      <w:sz w:val="32"/>
      <w:szCs w:val="32"/>
    </w:rPr>
  </w:style>
  <w:style w:type="character" w:styleId="721" w:customStyle="1">
    <w:name w:val="Подзаголовок Знак"/>
    <w:qFormat/>
    <w:rPr>
      <w:rFonts w:ascii="Georgia" w:hAnsi="Georgia" w:eastAsia="Georgia" w:cs="Georgia"/>
      <w:i/>
      <w:color w:val="666666"/>
      <w:sz w:val="48"/>
      <w:szCs w:val="48"/>
    </w:rPr>
  </w:style>
  <w:style w:type="paragraph" w:styleId="722" w:customStyle="1">
    <w:name w:val="Заголовок"/>
    <w:basedOn w:val="666"/>
    <w:next w:val="723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723">
    <w:name w:val="Body Text"/>
    <w:basedOn w:val="666"/>
    <w:uiPriority w:val="99"/>
    <w:pPr>
      <w:spacing w:before="0" w:after="120"/>
    </w:pPr>
    <w:rPr>
      <w:rFonts w:eastAsia="Calibri"/>
      <w:lang w:val="en-US"/>
    </w:rPr>
  </w:style>
  <w:style w:type="paragraph" w:styleId="724">
    <w:name w:val="List"/>
    <w:basedOn w:val="723"/>
    <w:rPr>
      <w:rFonts w:ascii="PT Astra Serif" w:hAnsi="PT Astra Serif" w:cs="Noto Sans Devanagari"/>
    </w:rPr>
  </w:style>
  <w:style w:type="paragraph" w:styleId="725">
    <w:name w:val="Caption"/>
    <w:basedOn w:val="666"/>
    <w:qFormat/>
    <w:pPr>
      <w:jc w:val="center"/>
    </w:pPr>
    <w:rPr>
      <w:rFonts w:eastAsia="Calibri"/>
      <w:i/>
      <w:iCs/>
      <w:lang w:val="en-US"/>
    </w:rPr>
  </w:style>
  <w:style w:type="paragraph" w:styleId="726">
    <w:name w:val="Указатель"/>
    <w:basedOn w:val="666"/>
    <w:qFormat/>
    <w:pPr>
      <w:suppressLineNumbers/>
    </w:pPr>
    <w:rPr>
      <w:rFonts w:ascii="PT Astra Serif" w:hAnsi="PT Astra Serif" w:cs="Noto Sans Devanagari"/>
    </w:rPr>
  </w:style>
  <w:style w:type="paragraph" w:styleId="727">
    <w:name w:val="index heading1"/>
    <w:basedOn w:val="722"/>
    <w:qFormat/>
  </w:style>
  <w:style w:type="paragraph" w:styleId="728">
    <w:name w:val="List Paragraph"/>
    <w:basedOn w:val="666"/>
    <w:uiPriority w:val="34"/>
    <w:qFormat/>
    <w:pPr>
      <w:contextualSpacing/>
      <w:ind w:left="720"/>
      <w:spacing w:before="0" w:after="0"/>
    </w:pPr>
  </w:style>
  <w:style w:type="paragraph" w:styleId="729">
    <w:name w:val="No Spacing"/>
    <w:uiPriority w:val="1"/>
    <w:qFormat/>
    <w:pPr>
      <w:jc w:val="left"/>
      <w:spacing w:before="0" w:after="0"/>
      <w:widowControl/>
    </w:pPr>
    <w:rPr>
      <w:rFonts w:ascii="Calibri" w:hAnsi="Calibri" w:eastAsia="Calibri" w:cs="Times New Roman"/>
      <w:color w:val="auto"/>
      <w:sz w:val="20"/>
      <w:szCs w:val="20"/>
      <w:lang w:val="ru-RU" w:eastAsia="zh-CN" w:bidi="ar-SA"/>
    </w:rPr>
  </w:style>
  <w:style w:type="paragraph" w:styleId="730">
    <w:name w:val="Title"/>
    <w:basedOn w:val="66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31">
    <w:name w:val="Subtitle"/>
    <w:basedOn w:val="666"/>
    <w:uiPriority w:val="11"/>
    <w:qFormat/>
    <w:pPr>
      <w:keepLines/>
      <w:keepNext/>
      <w:spacing w:before="360" w:after="80" w:line="276" w:lineRule="auto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732">
    <w:name w:val="Quote"/>
    <w:basedOn w:val="666"/>
    <w:uiPriority w:val="29"/>
    <w:qFormat/>
    <w:pPr>
      <w:ind w:left="720" w:right="720"/>
    </w:pPr>
    <w:rPr>
      <w:i/>
    </w:rPr>
  </w:style>
  <w:style w:type="paragraph" w:styleId="733">
    <w:name w:val="Intense Quote"/>
    <w:basedOn w:val="66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34" w:customStyle="1">
    <w:name w:val="Колонтитул"/>
    <w:basedOn w:val="666"/>
    <w:qFormat/>
  </w:style>
  <w:style w:type="paragraph" w:styleId="735">
    <w:name w:val="Header"/>
    <w:basedOn w:val="666"/>
    <w:uiPriority w:val="99"/>
    <w:pPr>
      <w:tabs>
        <w:tab w:val="clear" w:pos="708" w:leader="none"/>
        <w:tab w:val="center" w:pos="4677" w:leader="none"/>
        <w:tab w:val="right" w:pos="9355" w:leader="none"/>
      </w:tabs>
    </w:pPr>
    <w:rPr>
      <w:rFonts w:eastAsia="Calibri"/>
      <w:lang w:val="en-US"/>
    </w:rPr>
  </w:style>
  <w:style w:type="paragraph" w:styleId="736">
    <w:name w:val="Footer"/>
    <w:basedOn w:val="666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  <w:rPr>
      <w:lang w:val="en-US" w:eastAsia="en-US"/>
    </w:rPr>
  </w:style>
  <w:style w:type="paragraph" w:styleId="737">
    <w:name w:val="footnote text"/>
    <w:basedOn w:val="666"/>
    <w:uiPriority w:val="99"/>
    <w:semiHidden/>
    <w:unhideWhenUsed/>
    <w:pPr>
      <w:spacing w:before="0" w:after="40"/>
    </w:pPr>
    <w:rPr>
      <w:sz w:val="18"/>
    </w:rPr>
  </w:style>
  <w:style w:type="paragraph" w:styleId="738">
    <w:name w:val="endnote text"/>
    <w:basedOn w:val="666"/>
    <w:uiPriority w:val="99"/>
    <w:semiHidden/>
    <w:unhideWhenUsed/>
    <w:rPr>
      <w:sz w:val="20"/>
    </w:rPr>
  </w:style>
  <w:style w:type="paragraph" w:styleId="739">
    <w:name w:val="toc 1"/>
    <w:basedOn w:val="666"/>
    <w:uiPriority w:val="39"/>
    <w:unhideWhenUsed/>
    <w:pPr>
      <w:spacing w:before="0" w:after="57"/>
    </w:pPr>
  </w:style>
  <w:style w:type="paragraph" w:styleId="740">
    <w:name w:val="toc 2"/>
    <w:basedOn w:val="666"/>
    <w:uiPriority w:val="39"/>
    <w:unhideWhenUsed/>
    <w:pPr>
      <w:ind w:left="283"/>
      <w:spacing w:before="0" w:after="57"/>
    </w:pPr>
  </w:style>
  <w:style w:type="paragraph" w:styleId="741">
    <w:name w:val="toc 3"/>
    <w:basedOn w:val="666"/>
    <w:uiPriority w:val="39"/>
    <w:unhideWhenUsed/>
    <w:pPr>
      <w:ind w:left="567"/>
      <w:spacing w:before="0" w:after="57"/>
    </w:pPr>
  </w:style>
  <w:style w:type="paragraph" w:styleId="742">
    <w:name w:val="toc 4"/>
    <w:basedOn w:val="666"/>
    <w:uiPriority w:val="39"/>
    <w:unhideWhenUsed/>
    <w:pPr>
      <w:ind w:left="850"/>
      <w:spacing w:before="0" w:after="57"/>
    </w:pPr>
  </w:style>
  <w:style w:type="paragraph" w:styleId="743">
    <w:name w:val="toc 5"/>
    <w:basedOn w:val="666"/>
    <w:uiPriority w:val="39"/>
    <w:unhideWhenUsed/>
    <w:pPr>
      <w:ind w:left="1134"/>
      <w:spacing w:before="0" w:after="57"/>
    </w:pPr>
  </w:style>
  <w:style w:type="paragraph" w:styleId="744">
    <w:name w:val="toc 6"/>
    <w:basedOn w:val="666"/>
    <w:uiPriority w:val="39"/>
    <w:unhideWhenUsed/>
    <w:pPr>
      <w:ind w:left="1417"/>
      <w:spacing w:before="0" w:after="57"/>
    </w:pPr>
  </w:style>
  <w:style w:type="paragraph" w:styleId="745">
    <w:name w:val="toc 7"/>
    <w:basedOn w:val="666"/>
    <w:uiPriority w:val="39"/>
    <w:unhideWhenUsed/>
    <w:pPr>
      <w:ind w:left="1701"/>
      <w:spacing w:before="0" w:after="57"/>
    </w:pPr>
  </w:style>
  <w:style w:type="paragraph" w:styleId="746">
    <w:name w:val="toc 8"/>
    <w:basedOn w:val="666"/>
    <w:uiPriority w:val="39"/>
    <w:unhideWhenUsed/>
    <w:pPr>
      <w:ind w:left="1984"/>
      <w:spacing w:before="0" w:after="57"/>
    </w:pPr>
  </w:style>
  <w:style w:type="paragraph" w:styleId="747">
    <w:name w:val="toc 9"/>
    <w:basedOn w:val="666"/>
    <w:uiPriority w:val="39"/>
    <w:unhideWhenUsed/>
    <w:pPr>
      <w:ind w:left="2268"/>
      <w:spacing w:before="0" w:after="57"/>
    </w:pPr>
  </w:style>
  <w:style w:type="paragraph" w:styleId="748">
    <w:name w:val="Index Heading"/>
    <w:basedOn w:val="722"/>
  </w:style>
  <w:style w:type="paragraph" w:styleId="749">
    <w:name w:val="TOC Heading"/>
    <w:uiPriority w:val="39"/>
    <w:unhideWhenUsed/>
    <w:qFormat/>
    <w:pPr>
      <w:jc w:val="left"/>
      <w:spacing w:before="0" w:after="0"/>
      <w:widowControl/>
    </w:pPr>
    <w:rPr>
      <w:rFonts w:ascii="Calibri" w:hAnsi="Calibri" w:eastAsia="Calibri" w:cs="Times New Roman"/>
      <w:color w:val="auto"/>
      <w:sz w:val="20"/>
      <w:szCs w:val="20"/>
      <w:lang w:val="ru-RU" w:eastAsia="zh-CN" w:bidi="ar-SA"/>
    </w:rPr>
  </w:style>
  <w:style w:type="paragraph" w:styleId="750">
    <w:name w:val="table of figures"/>
    <w:basedOn w:val="666"/>
    <w:uiPriority w:val="99"/>
    <w:unhideWhenUsed/>
  </w:style>
  <w:style w:type="paragraph" w:styleId="751">
    <w:name w:val="Body Text Indent"/>
    <w:basedOn w:val="666"/>
    <w:uiPriority w:val="99"/>
    <w:pPr>
      <w:ind w:left="283"/>
      <w:spacing w:before="0" w:after="120"/>
    </w:pPr>
    <w:rPr>
      <w:rFonts w:eastAsia="Calibri"/>
      <w:lang w:val="en-US"/>
    </w:rPr>
  </w:style>
  <w:style w:type="paragraph" w:styleId="752" w:customStyle="1">
    <w:name w:val="Обычный1"/>
    <w:uiPriority w:val="99"/>
    <w:qFormat/>
    <w:pPr>
      <w:jc w:val="left"/>
      <w:spacing w:before="0" w:after="0"/>
      <w:widowControl w:val="off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753">
    <w:name w:val="Balloon Text"/>
    <w:basedOn w:val="666"/>
    <w:uiPriority w:val="99"/>
    <w:semiHidden/>
    <w:qFormat/>
    <w:rPr>
      <w:rFonts w:ascii="Tahoma" w:hAnsi="Tahoma" w:eastAsia="Calibri"/>
      <w:sz w:val="16"/>
      <w:szCs w:val="16"/>
      <w:lang w:val="en-US"/>
    </w:rPr>
  </w:style>
  <w:style w:type="paragraph" w:styleId="754" w:customStyle="1">
    <w:name w:val="ConsNonformat"/>
    <w:uiPriority w:val="99"/>
    <w:qFormat/>
    <w:pPr>
      <w:jc w:val="left"/>
      <w:spacing w:before="0" w:after="0"/>
      <w:widowControl w:val="off"/>
    </w:pPr>
    <w:rPr>
      <w:rFonts w:ascii="Courier New" w:hAnsi="Courier New" w:eastAsia="Times New Roman" w:cs="Times New Roman"/>
      <w:color w:val="auto"/>
      <w:sz w:val="16"/>
      <w:szCs w:val="20"/>
      <w:lang w:val="ru-RU" w:eastAsia="ru-RU" w:bidi="ar-SA"/>
    </w:rPr>
  </w:style>
  <w:style w:type="paragraph" w:styleId="755">
    <w:name w:val="Body Text Indent 2"/>
    <w:basedOn w:val="666"/>
    <w:qFormat/>
    <w:pPr>
      <w:ind w:left="283"/>
      <w:spacing w:before="0" w:after="120" w:line="480" w:lineRule="auto"/>
    </w:pPr>
    <w:rPr>
      <w:rFonts w:eastAsia="Calibri"/>
      <w:lang w:val="en-US"/>
    </w:rPr>
  </w:style>
  <w:style w:type="paragraph" w:styleId="756">
    <w:name w:val="Normal (Web)"/>
    <w:basedOn w:val="666"/>
    <w:uiPriority w:val="99"/>
    <w:qFormat/>
    <w:pPr>
      <w:ind w:firstLine="400"/>
      <w:jc w:val="both"/>
    </w:pPr>
    <w:rPr>
      <w:rFonts w:ascii="Verdana" w:hAnsi="Verdana"/>
      <w:sz w:val="16"/>
      <w:szCs w:val="16"/>
    </w:rPr>
  </w:style>
  <w:style w:type="paragraph" w:styleId="757">
    <w:name w:val="Body Text Indent 3"/>
    <w:basedOn w:val="666"/>
    <w:qFormat/>
    <w:pPr>
      <w:ind w:left="283"/>
      <w:spacing w:before="0" w:after="120"/>
    </w:pPr>
    <w:rPr>
      <w:sz w:val="16"/>
      <w:szCs w:val="16"/>
      <w:lang w:val="en-US" w:eastAsia="en-US"/>
    </w:rPr>
  </w:style>
  <w:style w:type="paragraph" w:styleId="758" w:customStyle="1">
    <w:name w:val="Знак1"/>
    <w:basedOn w:val="666"/>
    <w:qFormat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759" w:customStyle="1">
    <w:name w:val="ConsPlusNormal"/>
    <w:qFormat/>
    <w:pPr>
      <w:jc w:val="left"/>
      <w:spacing w:before="0" w:after="0"/>
      <w:widowControl/>
    </w:pPr>
    <w:rPr>
      <w:rFonts w:ascii="Times New Roman" w:hAnsi="Times New Roman" w:eastAsia="Calibri" w:cs="Times New Roman"/>
      <w:color w:val="auto"/>
      <w:sz w:val="26"/>
      <w:szCs w:val="26"/>
      <w:lang w:val="ru-RU" w:eastAsia="ru-RU" w:bidi="ar-SA"/>
    </w:rPr>
  </w:style>
  <w:style w:type="paragraph" w:styleId="760">
    <w:name w:val="HTML Preformatted"/>
    <w:basedOn w:val="666"/>
    <w:uiPriority w:val="99"/>
    <w:qFormat/>
    <w:pPr>
      <w:tabs>
        <w:tab w:val="clear" w:pos="708" w:leader="none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  <w:szCs w:val="20"/>
      <w:lang w:val="en-US"/>
    </w:rPr>
  </w:style>
  <w:style w:type="paragraph" w:styleId="761">
    <w:name w:val="Body Text First Indent"/>
    <w:basedOn w:val="723"/>
    <w:unhideWhenUsed/>
    <w:qFormat/>
    <w:pPr>
      <w:ind w:firstLine="210"/>
    </w:pPr>
    <w:rPr>
      <w:rFonts w:eastAsia="Times New Roman"/>
      <w:lang w:val="ru-RU"/>
    </w:rPr>
  </w:style>
  <w:style w:type="paragraph" w:styleId="762" w:customStyle="1">
    <w:name w:val="SB_Титул"/>
    <w:basedOn w:val="666"/>
    <w:qFormat/>
    <w:pPr>
      <w:jc w:val="center"/>
    </w:pPr>
    <w:rPr>
      <w:rFonts w:eastAsia="Calibri"/>
      <w:b/>
      <w:sz w:val="32"/>
      <w:szCs w:val="32"/>
    </w:rPr>
  </w:style>
  <w:style w:type="numbering" w:styleId="763" w:default="1">
    <w:name w:val="No List"/>
    <w:uiPriority w:val="99"/>
    <w:semiHidden/>
    <w:unhideWhenUsed/>
    <w:qFormat/>
  </w:style>
  <w:style w:type="numbering" w:styleId="764" w:customStyle="1">
    <w:name w:val="Нет списка1"/>
    <w:uiPriority w:val="99"/>
    <w:semiHidden/>
    <w:unhideWhenUsed/>
    <w:qFormat/>
  </w:style>
  <w:style w:type="numbering" w:styleId="765" w:customStyle="1">
    <w:name w:val="Нет списка2"/>
    <w:uiPriority w:val="99"/>
    <w:semiHidden/>
    <w:unhideWhenUsed/>
    <w:qFormat/>
  </w:style>
  <w:style w:type="numbering" w:styleId="766" w:customStyle="1">
    <w:name w:val="Нет списка3"/>
    <w:uiPriority w:val="99"/>
    <w:semiHidden/>
    <w:unhideWhenUsed/>
    <w:qFormat/>
  </w:style>
  <w:style w:type="table" w:styleId="767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68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9" w:customStyle="1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0" w:customStyle="1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1" w:customStyle="1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2" w:customStyle="1">
    <w:name w:val="Plain Table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73" w:customStyle="1">
    <w:name w:val="Plain Table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74" w:customStyle="1">
    <w:name w:val="Plain Table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f2f2" w:fill="f2f2f2" w:themeFill="text1" w:themeFillTint="00"/>
      </w:tcPr>
    </w:tblStylePr>
    <w:tblStylePr w:type="band1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6" w:customStyle="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7B4D8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7" w:customStyle="1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DA9896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8" w:customStyle="1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4D79D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9" w:customStyle="1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B4A4C8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0" w:customStyle="1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5CEDD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1" w:customStyle="1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AC192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2" w:customStyle="1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97" w:customStyle="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dce6f2" w:fill="dce6f2" w:themeFill="accent1" w:themeFillTint="32"/>
      </w:tc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d8ac2" w:fill="5d8ac2" w:themeFill="accent1" w:themeFillTint="EA"/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D8AC2" w:themeColor="accent1" w:sz="4" w:space="0"/>
        </w:tcBorders>
      </w:tcPr>
    </w:tblStylePr>
  </w:style>
  <w:style w:type="table" w:styleId="798" w:customStyle="1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D99695" w:themeColor="accent2" w:sz="4" w:space="0"/>
        </w:tcBorders>
      </w:tcPr>
    </w:tblStylePr>
  </w:style>
  <w:style w:type="table" w:styleId="799" w:customStyle="1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abb59" w:fill="9abb59" w:themeFill="accent3" w:themeFillTint="FE"/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ABB59" w:themeColor="accent3" w:sz="4" w:space="0"/>
        </w:tcBorders>
      </w:tcPr>
    </w:tblStylePr>
  </w:style>
  <w:style w:type="table" w:styleId="800" w:customStyle="1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B2A1C6" w:themeColor="accent4" w:sz="4" w:space="0"/>
        </w:tcBorders>
      </w:tcPr>
    </w:tblStylePr>
  </w:style>
  <w:style w:type="table" w:styleId="801" w:customStyle="1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802" w:customStyle="1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803" w:customStyle="1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a4a4a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</w:style>
  <w:style w:type="table" w:styleId="811" w:customStyle="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e70a3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A6BFDD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</w:style>
  <w:style w:type="table" w:styleId="812" w:customStyle="1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c3a37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D99695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</w:style>
  <w:style w:type="table" w:styleId="813" w:customStyle="1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5c702f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9ABB59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</w:style>
  <w:style w:type="table" w:styleId="814" w:customStyle="1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664f82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B2A1C6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</w:style>
  <w:style w:type="table" w:styleId="815" w:customStyle="1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7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</w:style>
  <w:style w:type="table" w:styleId="816" w:customStyle="1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7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</w:style>
  <w:style w:type="table" w:styleId="817" w:customStyle="1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a4a4a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e70a3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c3a37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5c702f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664f82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7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053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832" w:customStyle="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</w:style>
  <w:style w:type="table" w:styleId="833" w:customStyle="1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</w:style>
  <w:style w:type="table" w:styleId="834" w:customStyle="1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</w:style>
  <w:style w:type="table" w:styleId="835" w:customStyle="1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</w:style>
  <w:style w:type="table" w:styleId="836" w:customStyle="1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</w:style>
  <w:style w:type="table" w:styleId="837" w:customStyle="1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</w:style>
  <w:style w:type="table" w:styleId="838" w:customStyle="1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9" w:customStyle="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0" w:customStyle="1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1" w:customStyle="1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3d69b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2" w:customStyle="1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3" w:customStyle="1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4" w:customStyle="1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5" w:customStyle="1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6" w:customStyle="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7" w:customStyle="1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8" w:customStyle="1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 w:customStyle="1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 w:customStyle="1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 w:customStyle="1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 w:customStyle="1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3" w:customStyle="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4" w:customStyle="1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D99695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5" w:customStyle="1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C3D69B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6" w:customStyle="1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B2A1C6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7" w:customStyle="1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92CCDC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8" w:customStyle="1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AC090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9" w:customStyle="1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860" w:customStyle="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1" w:customStyle="1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c3a37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D99695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D99695" w:themeColor="accent2" w:sz="4" w:space="0"/>
        </w:tcBorders>
      </w:tcPr>
    </w:tblStylePr>
  </w:style>
  <w:style w:type="table" w:styleId="862" w:customStyle="1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c983f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C3D69B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C3D69B" w:themeColor="accent3" w:sz="4" w:space="0"/>
        </w:tcBorders>
      </w:tcPr>
    </w:tblStylePr>
  </w:style>
  <w:style w:type="table" w:styleId="863" w:customStyle="1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664f82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B2A1C6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B2A1C6" w:themeColor="accent4" w:sz="4" w:space="0"/>
        </w:tcBorders>
      </w:tcPr>
    </w:tblStylePr>
  </w:style>
  <w:style w:type="table" w:styleId="864" w:customStyle="1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38aa0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92CCDC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92CCDC" w:themeColor="accent5" w:sz="4" w:space="0"/>
        </w:tcBorders>
      </w:tcPr>
    </w:tblStylePr>
  </w:style>
  <w:style w:type="table" w:styleId="865" w:customStyle="1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680c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FAC09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FAC090" w:themeColor="accent6" w:sz="4" w:space="0"/>
        </w:tcBorders>
      </w:tcPr>
    </w:tblStylePr>
  </w:style>
  <w:style w:type="table" w:styleId="866" w:customStyle="1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4a4a4a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c3a37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c983f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664f82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338aa0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680c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ned - Accent"/>
    <w:uiPriority w:val="99"/>
    <w:rPr>
      <w:lang w:eastAsia="ru-RU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0"/>
      </w:tcPr>
    </w:tblStylePr>
    <w:tblStylePr w:type="band2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874" w:customStyle="1">
    <w:name w:val="Lined - Accent 1"/>
    <w:uiPriority w:val="99"/>
    <w:rPr>
      <w:lang w:eastAsia="ru-RU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875" w:customStyle="1">
    <w:name w:val="Lined - Accent 2"/>
    <w:uiPriority w:val="99"/>
    <w:rPr>
      <w:lang w:eastAsia="ru-RU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876" w:customStyle="1">
    <w:name w:val="Lined - Accent 3"/>
    <w:uiPriority w:val="99"/>
    <w:rPr>
      <w:lang w:eastAsia="ru-RU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877" w:customStyle="1">
    <w:name w:val="Lined - Accent 4"/>
    <w:uiPriority w:val="99"/>
    <w:rPr>
      <w:lang w:eastAsia="ru-RU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878" w:customStyle="1">
    <w:name w:val="Lined - Accent 5"/>
    <w:uiPriority w:val="99"/>
    <w:rPr>
      <w:lang w:eastAsia="ru-RU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879" w:customStyle="1">
    <w:name w:val="Lined - Accent 6"/>
    <w:uiPriority w:val="99"/>
    <w:rPr>
      <w:lang w:eastAsia="ru-RU"/>
    </w:rPr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880" w:customStyle="1">
    <w:name w:val="Bordered &amp; Lined - Accent"/>
    <w:uiPriority w:val="99"/>
    <w:rPr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0"/>
      </w:tcPr>
    </w:tblStylePr>
    <w:tblStylePr w:type="band2Vert">
      <w:rPr>
        <w:sz w:val="22"/>
      </w:rPr>
      <w:tcPr>
        <w:shd w:val="clear" w:color="f2f2f2" w:fill="f2f2f2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881" w:customStyle="1">
    <w:name w:val="Bordered &amp; Lined - Accent 1"/>
    <w:uiPriority w:val="99"/>
    <w:rPr>
      <w:lang w:eastAsia="ru-RU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882" w:customStyle="1">
    <w:name w:val="Bordered &amp; Lined - Accent 2"/>
    <w:uiPriority w:val="99"/>
    <w:rPr>
      <w:lang w:eastAsia="ru-RU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883" w:customStyle="1">
    <w:name w:val="Bordered &amp; Lined - Accent 3"/>
    <w:uiPriority w:val="99"/>
    <w:rPr>
      <w:lang w:eastAsia="ru-RU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884" w:customStyle="1">
    <w:name w:val="Bordered &amp; Lined - Accent 4"/>
    <w:uiPriority w:val="99"/>
    <w:rPr>
      <w:lang w:eastAsia="ru-RU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885" w:customStyle="1">
    <w:name w:val="Bordered &amp; Lined - Accent 5"/>
    <w:uiPriority w:val="99"/>
    <w:rPr>
      <w:lang w:eastAsia="ru-RU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886" w:customStyle="1">
    <w:name w:val="Bordered &amp; Lined - Accent 6"/>
    <w:uiPriority w:val="99"/>
    <w:rPr>
      <w:lang w:eastAsia="ru-RU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887" w:customStyle="1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F7F7F" w:themeColor="text1" w:sz="12" w:space="0"/>
        </w:tcBorders>
      </w:tcPr>
    </w:tblStylePr>
    <w:tblStylePr w:type="lastCol">
      <w:rPr>
        <w:sz w:val="22"/>
      </w:rPr>
      <w:tcPr>
        <w:tcBorders>
          <w:left w:val="single" w:color="7F7F7F" w:themeColor="text1" w:sz="12" w:space="0"/>
        </w:tcBorders>
      </w:tcPr>
    </w:tblStylePr>
    <w:tblStylePr w:type="lastRow">
      <w:rPr>
        <w:sz w:val="22"/>
      </w:rPr>
      <w:tcPr>
        <w:tcBorders>
          <w:top w:val="single" w:color="7F7F7F" w:themeColor="text1" w:sz="12" w:space="0"/>
        </w:tcBorders>
      </w:tcPr>
    </w:tblStylePr>
  </w:style>
  <w:style w:type="table" w:styleId="888" w:customStyle="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9" w:customStyle="1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D99695" w:themeColor="accent2" w:sz="12" w:space="0"/>
        </w:tcBorders>
      </w:tcPr>
    </w:tblStylePr>
    <w:tblStylePr w:type="lastCol">
      <w:rPr>
        <w:sz w:val="22"/>
      </w:rPr>
      <w:tcPr>
        <w:tcBorders>
          <w:left w:val="single" w:color="D99695" w:themeColor="accent2" w:sz="12" w:space="0"/>
        </w:tcBorders>
      </w:tcPr>
    </w:tblStylePr>
    <w:tblStylePr w:type="lastRow">
      <w:rPr>
        <w:sz w:val="22"/>
      </w:rPr>
      <w:tcPr>
        <w:tcBorders>
          <w:top w:val="single" w:color="D99695" w:themeColor="accent2" w:sz="12" w:space="0"/>
        </w:tcBorders>
      </w:tcPr>
    </w:tblStylePr>
  </w:style>
  <w:style w:type="table" w:styleId="890" w:customStyle="1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3D69B" w:themeColor="accent3" w:sz="12" w:space="0"/>
        </w:tcBorders>
      </w:tcPr>
    </w:tblStylePr>
    <w:tblStylePr w:type="lastCol">
      <w:rPr>
        <w:sz w:val="22"/>
      </w:rPr>
      <w:tcPr>
        <w:tcBorders>
          <w:left w:val="single" w:color="C3D69B" w:themeColor="accent3" w:sz="12" w:space="0"/>
        </w:tcBorders>
      </w:tcPr>
    </w:tblStylePr>
    <w:tblStylePr w:type="lastRow">
      <w:rPr>
        <w:sz w:val="22"/>
      </w:rPr>
      <w:tcPr>
        <w:tcBorders>
          <w:top w:val="single" w:color="C3D69B" w:themeColor="accent3" w:sz="12" w:space="0"/>
        </w:tcBorders>
      </w:tcPr>
    </w:tblStylePr>
  </w:style>
  <w:style w:type="table" w:styleId="891" w:customStyle="1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B2A1C6" w:themeColor="accent4" w:sz="12" w:space="0"/>
        </w:tcBorders>
      </w:tcPr>
    </w:tblStylePr>
    <w:tblStylePr w:type="lastCol">
      <w:rPr>
        <w:sz w:val="22"/>
      </w:rPr>
      <w:tcPr>
        <w:tcBorders>
          <w:left w:val="single" w:color="B2A1C6" w:themeColor="accent4" w:sz="12" w:space="0"/>
        </w:tcBorders>
      </w:tcPr>
    </w:tblStylePr>
    <w:tblStylePr w:type="lastRow">
      <w:rPr>
        <w:sz w:val="22"/>
      </w:rPr>
      <w:tcPr>
        <w:tcBorders>
          <w:top w:val="single" w:color="B2A1C6" w:themeColor="accent4" w:sz="12" w:space="0"/>
        </w:tcBorders>
      </w:tcPr>
    </w:tblStylePr>
  </w:style>
  <w:style w:type="table" w:styleId="892" w:customStyle="1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2CCDC" w:themeColor="accent5" w:sz="12" w:space="0"/>
        </w:tcBorders>
      </w:tcPr>
    </w:tblStylePr>
    <w:tblStylePr w:type="lastCol">
      <w:rPr>
        <w:sz w:val="22"/>
      </w:rPr>
      <w:tcPr>
        <w:tcBorders>
          <w:left w:val="single" w:color="92CCDC" w:themeColor="accent5" w:sz="12" w:space="0"/>
        </w:tcBorders>
      </w:tcPr>
    </w:tblStylePr>
    <w:tblStylePr w:type="lastRow">
      <w:rPr>
        <w:sz w:val="22"/>
      </w:rPr>
      <w:tcPr>
        <w:tcBorders>
          <w:top w:val="single" w:color="92CCDC" w:themeColor="accent5" w:sz="12" w:space="0"/>
        </w:tcBorders>
      </w:tcPr>
    </w:tblStylePr>
  </w:style>
  <w:style w:type="table" w:styleId="893" w:customStyle="1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AC09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AC090" w:themeColor="accent6" w:sz="12" w:space="0"/>
        </w:tcBorders>
      </w:tcPr>
    </w:tblStylePr>
    <w:tblStylePr w:type="lastRow">
      <w:rPr>
        <w:sz w:val="22"/>
      </w:rPr>
      <w:tcPr>
        <w:tcBorders>
          <w:top w:val="single" w:color="FAC090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gski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obrazov40</dc:creator>
  <dc:description/>
  <dc:language>ru-RU</dc:language>
  <cp:revision>17</cp:revision>
  <dcterms:created xsi:type="dcterms:W3CDTF">2025-06-24T19:08:00Z</dcterms:created>
  <dcterms:modified xsi:type="dcterms:W3CDTF">2025-08-14T05:37:57Z</dcterms:modified>
  <cp:version>917504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