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55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359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55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359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242FB0" w:rsidRPr="002524A0" w:rsidRDefault="002524A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096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524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 внесении изменений в муниципальную программу Янтиковского муниципального округа Чувашской Республики «Развитие сельского хозяйства и регулиров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ание рынка сельскохозяйственной </w:t>
      </w:r>
      <w:r w:rsidRPr="002524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продукции, сырья и продовольствия»</w:t>
      </w:r>
    </w:p>
    <w:p w:rsidR="002524A0" w:rsidRPr="00242FB0" w:rsidRDefault="002524A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kern w:val="0"/>
          <w:lang w:eastAsia="ru-RU"/>
        </w:rPr>
      </w:pPr>
    </w:p>
    <w:p w:rsidR="00242FB0" w:rsidRPr="00242FB0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242FB0" w:rsidRPr="00242FB0" w:rsidRDefault="00242FB0" w:rsidP="002524A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="002524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         </w:t>
      </w:r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242FB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242FB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42FB0" w:rsidRPr="00242FB0" w:rsidRDefault="00242FB0" w:rsidP="002524A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</w:pPr>
      <w:bookmarkStart w:id="0" w:name="sub_1"/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1. Утвердить прилагаемые изменения, которые вносятся в муниципальную программу Янтиковского муниципального округа Чувашской Республики «Развитие сельского хозяйства и регулирование рынка сельскохозяйственной продукции сырья и продовольствия», утвержденную постановлением администрации Янтиковского муниц</w:t>
      </w:r>
      <w:r w:rsidR="002524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ипального округа от 25.05.2023 </w:t>
      </w: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№ 459 </w:t>
      </w:r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(с изменениями от 05.02.2024 № 143, 22.05.2024 №</w:t>
      </w:r>
      <w:r w:rsidR="002524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522).</w:t>
      </w:r>
    </w:p>
    <w:p w:rsidR="00242FB0" w:rsidRPr="00242FB0" w:rsidRDefault="00242FB0" w:rsidP="002524A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4"/>
      <w:bookmarkEnd w:id="0"/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</w:t>
      </w:r>
      <w:bookmarkEnd w:id="1"/>
      <w:r w:rsidRPr="00242F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42FB0" w:rsidRPr="00242FB0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242FB0" w:rsidRPr="00242FB0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242FB0" w:rsidRPr="00242FB0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</w:pP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242FB0" w:rsidRPr="00242FB0" w:rsidRDefault="00242FB0" w:rsidP="002524A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-7" w:firstLine="0"/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</w:pP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>муниципальн</w:t>
      </w:r>
      <w:r w:rsidR="002524A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ого округа                    </w:t>
      </w: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  </w:t>
      </w:r>
      <w:r w:rsidR="002524A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    </w:t>
      </w: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    </w:t>
      </w:r>
      <w:r w:rsidR="002524A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                       </w:t>
      </w:r>
      <w:r w:rsidRPr="00242FB0"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 xml:space="preserve">             О.А. Ломоносов</w:t>
      </w:r>
    </w:p>
    <w:p w:rsidR="00242FB0" w:rsidRPr="00242FB0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</w:p>
    <w:p w:rsidR="002524A0" w:rsidRDefault="002524A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  <w:sectPr w:rsidR="002524A0" w:rsidSect="00553CAC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524A0" w:rsidRDefault="002524A0" w:rsidP="002524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УТВЕРЖДЕНЫ</w:t>
      </w:r>
    </w:p>
    <w:p w:rsidR="00242FB0" w:rsidRPr="00242FB0" w:rsidRDefault="00242FB0" w:rsidP="002524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42FB0">
        <w:rPr>
          <w:rFonts w:ascii="Times New Roman CYR" w:hAnsi="Times New Roman CYR" w:cs="Times New Roman CYR"/>
          <w:color w:val="000000"/>
          <w:kern w:val="0"/>
          <w:lang w:eastAsia="ru-RU"/>
        </w:rPr>
        <w:t>постановлением администрации</w:t>
      </w:r>
    </w:p>
    <w:p w:rsidR="00242FB0" w:rsidRPr="00242FB0" w:rsidRDefault="00242FB0" w:rsidP="002524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42FB0">
        <w:rPr>
          <w:rFonts w:ascii="Times New Roman CYR" w:hAnsi="Times New Roman CYR" w:cs="Times New Roman CYR"/>
          <w:color w:val="000000"/>
          <w:kern w:val="0"/>
          <w:lang w:eastAsia="ru-RU"/>
        </w:rPr>
        <w:t>Янтиковского муниципального округа</w:t>
      </w:r>
    </w:p>
    <w:p w:rsidR="00242FB0" w:rsidRPr="00242FB0" w:rsidRDefault="00115505" w:rsidP="002524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от 16.05.</w:t>
      </w:r>
      <w:bookmarkStart w:id="2" w:name="_GoBack"/>
      <w:bookmarkEnd w:id="2"/>
      <w:r>
        <w:rPr>
          <w:rFonts w:ascii="Times New Roman CYR" w:hAnsi="Times New Roman CYR" w:cs="Times New Roman CYR"/>
          <w:color w:val="000000"/>
          <w:kern w:val="0"/>
          <w:lang w:eastAsia="ru-RU"/>
        </w:rPr>
        <w:t>.2025 г. № 359</w:t>
      </w:r>
    </w:p>
    <w:p w:rsidR="00242FB0" w:rsidRPr="00242FB0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242FB0" w:rsidRPr="00242FB0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242FB0" w:rsidRPr="00553CAC" w:rsidRDefault="00242FB0" w:rsidP="002524A0">
      <w:pPr>
        <w:widowControl w:val="0"/>
        <w:tabs>
          <w:tab w:val="left" w:pos="5670"/>
          <w:tab w:val="left" w:pos="5812"/>
        </w:tabs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Изменения,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которые вносятся в муниципальную программу Янтиковского муниципально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го округа Чувашской Республики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одукции, сырья и продовольствия»</w:t>
      </w: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Изложить </w:t>
      </w:r>
      <w:hyperlink r:id="rId10" w:history="1">
        <w:r w:rsidRPr="00553CAC">
          <w:rPr>
            <w:rFonts w:ascii="Times New Roman CYR" w:hAnsi="Times New Roman CYR" w:cs="Times New Roman CYR"/>
            <w:kern w:val="0"/>
            <w:sz w:val="22"/>
            <w:szCs w:val="22"/>
            <w:lang w:eastAsia="ru-RU"/>
          </w:rPr>
          <w:t>муниципальную программу</w:t>
        </w:r>
      </w:hyperlink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Янтиковского муниципально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го округа Чувашской Республики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одукции, сырья и продовольствия»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в следующей редакции:</w:t>
      </w: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Муниципальная программа Янтиковского муниципально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го округа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Чувашской Республики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одукции, сырья и продовольствия»</w:t>
      </w: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441"/>
      </w:tblGrid>
      <w:tr w:rsidR="00242FB0" w:rsidRPr="00553CAC" w:rsidTr="002524A0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Ответственный исполнитель: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Отдел сельского хозяйства и экологии администрации Янтиковского муниципального округа </w:t>
            </w:r>
          </w:p>
        </w:tc>
      </w:tr>
      <w:tr w:rsidR="00242FB0" w:rsidRPr="00553CAC" w:rsidTr="002524A0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Дата составления проекта Муниципальной  программы: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25 май 2023 года</w:t>
            </w:r>
          </w:p>
        </w:tc>
      </w:tr>
      <w:tr w:rsidR="00242FB0" w:rsidRPr="00553CAC" w:rsidTr="002524A0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 администрации Янтиковского муниципального округа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242FB0" w:rsidRPr="00553CAC" w:rsidTr="004A73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3" w:name="sub_110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Стратегические приоритеты в сфере реализации муниципальной программы Янтиковского муниципально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го округа Чувашской Республики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одукции, сырья и продовольствия»</w:t>
      </w:r>
    </w:p>
    <w:bookmarkEnd w:id="3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4" w:name="sub_1001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I. Оценка текущего состояния сферы реализации муниципальной программы Янтиковского муниципально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го округа Чувашской Республики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одукции, сырья и продовольствия»</w:t>
      </w:r>
    </w:p>
    <w:bookmarkEnd w:id="4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Муниципальная программа Янтиковского муниципального округа Чувашской Рес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публики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одукции, сырья и продовольствия»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(далее также - Муниципальная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Янтиковского муниципального округа Чувашской Республики.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Индекс производства продукции сельского хозяйства (в сопоставимых ценах) в хозяйствах всех категорий в 2024 году составил 104,1 процента по отношению к уровню 2023 года.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 результатам деятельности сельскохозяйственных организаций за 2024 год, подготовленным на основании отчетов о финансово-экономическом состоянии товаропроизводителей агропромышленного комплекса, получивших государственную поддержку, рентабельность сельскохозяйственных организаций с учетом субсидий составила 15,3 процента (без государственной поддержки 12 процентов).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Среднемесячная начисленная заработная плата в сельскохозяйственных организациях составила 47205 рублей, что больше показателя 2023 года на 120,5 процента. 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lastRenderedPageBreak/>
        <w:t>Основными проблемами в сфере реализации Муниципальной программы на текущем этапе являются: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недостаточность перерабатывающих мощностей, товарных направлений и групп;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торговые (тарифные и нетарифные) барьеры;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невысокие темпы развития экономики;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отсутствие необходимых прорывных решений и технологий в агропромышленном комплексе;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недостаток высококвалифицированных кадров в сельском хозяйстве и пищевой промышленности.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I. Стратегические приоритеты и цели государственной политики в сфере реализации Муниципальной программы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Указ Президента Российской Фе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дерации от 7 мая 2018 г. № 204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 национальных целях и стратегических задачах развития Российской Федерации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на период до 2024 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Указ Президента Российско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й Федерации от 21 июля 2020 г. №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 474 "О национальных целях развития Российской Ф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едерации на период до 2030 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постановление Правительства Российско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й Федерации от 14 июля 2012 г. № 717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 Государственной программе развития сельского хозяйства и регулирования рынков сельскохозяйственной пр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одукции, сырья и продовольствия»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постановление Правительства Российск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ой Федерации от 26 мая 2021 г. № 786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О системе управления государственными программами Российской 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Федерации»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распоряжение Правительства Российской Ф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едерации от 8 сентября 2022 г. №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 2567-р об утверждении Стратегии развития агропромышленного и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рыбохозяйственного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комплексов Российской Федерации на период до 2030 года;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Закон Чувашской Республики от 26 ноя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бря 2020 г. № 102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 Стратегии социально-экономического развития Чу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вашской Республики до 2035 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постановление Кабинета Министров Чувашской Респуб</w:t>
      </w:r>
      <w:r w:rsid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лики от 22 января 2020 г. 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№ 24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Об утверждении Бюджетного прогноза Чувашской Республики на период до 2035 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Ключевые ориентиры развития в рамках Муниципальной программы: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обеспечение продовольственной безопасности в соответствии с Доктриной продовольственной безопасности Российской Федерации, утвержденной Указом Президента Российской Федерации от 21 января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2020 г. № 20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 утверждении Доктрины продовольственной бе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зопасности Российской Федерации»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экспорта продукции агропромышленного комплекса;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растениеводства и животноводства, в том числе с внедрением инновационных технологий;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пищевой и перерабатывающей промышленности;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субъектов малого предпринимательства в агропромышленном комплексе;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цифровизация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отраслей и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подотраслей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агропромышленного комплекса, в том числе внедрение технологий искусственного интеллекта в агропромышленный комплекс;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селекция и генетика;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внедрение новых видов сервисов, услуг и решений, позволяющих оптимизировать производственные и логистические процессы.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Государственная политика в агропромышленном комплексе к 2035 году трансформируется, так как единая цифровая платформа учета предоставления данных, услуг и сервисов в комплексе позволит прогнозировать развитие и риски в агропромышленном комплексе, в том числе экономические, социальные и климатические.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К концу II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val="en-US" w:eastAsia="ru-RU"/>
        </w:rPr>
        <w:t>I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этапа реализации Муниципальной программы (2035 год) прогнозируется достижение следующих целей Муниципальной программы:</w:t>
      </w:r>
    </w:p>
    <w:p w:rsidR="00242FB0" w:rsidRPr="00553CAC" w:rsidRDefault="002524A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1 «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значения индекса производства продукции сельского хозяйства в 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lastRenderedPageBreak/>
        <w:t>хозяйствах всех категорий (в сопоставимых ценах) в 2035 году в объеме 114,2 процента по отношению к у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ровню 2023 года»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524A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2 «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достижение рентабельности сельскохозяйственных организаций (с учетом субсидий) в 2035 году в объеме 122,2 процента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по отношению к уровню 2023года»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524A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3 «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уровня среднемесячной начисленной заработной платы работников сельского хозяйства (без субъектов малого предпринимательства) в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2035 году в размере 77964 рубля»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4 «достижение производства мяса на убой (в живом весе) во всех категориях хозяйств в 2035 году в объеме 121,6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5 «достижение производства молока во всех категориях хозяйств в 2035 году в объеме 115,2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6 «достижение производства яиц во всех категориях хозяйств в 2035 году в объеме 106,9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7 «достижение объема производства зерна во всех категориях хозяйств в 2035 году в объеме 131,4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8 «достижение объема производства картофеля во всех категориях хозяйств в 2035 году в объеме 115,0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цель 9 «достижение объема производства овощей открытого грунта во всех категориях хозяйств в 2035 году в объеме 109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цель 10 «достижение уровня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энергообеспеченности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на 100 га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сельскохозяйственных угодий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в 2035 году до 195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л.</w:t>
      </w:r>
      <w:proofErr w:type="gram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</w:t>
      </w:r>
      <w:proofErr w:type="spellEnd"/>
      <w:proofErr w:type="gram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.».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5" w:name="sub_1002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II. Сведения о взаимосвязи со стратегическими приоритетами, целями и показателями государственной программы Российской Федерации</w:t>
      </w:r>
    </w:p>
    <w:bookmarkEnd w:id="5"/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Реализация Муниципальной программы оказывает влияние на результаты Государственной программы развития сельского хозяйства и регулирования рынков сельскохозяйственной продукции, сырья и продовольствия, которая направлена на достижение национальной цели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развития Российской Федерации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Достойный, эффективный труд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и успешное предпринимательство»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, определенной Указом Президента Российско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й Федерации от 21 июля 2020 г. № 474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 национальных целях развития Российской Ф</w:t>
      </w:r>
      <w:r w:rsidR="002524A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едерации на период до 2030 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, в том числе</w:t>
      </w:r>
      <w:proofErr w:type="gram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на следующие целевые показатели, характеризующие достижение национальных целей: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обеспечение темпа роста валового внутреннего продукта выше среднероссийского при сохранении макроэкономической стабильности;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реальный рост инвестиций в основной капитал не менее 70 процентов по сравнению с показателем 2023 года;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реальный рост экспорта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несырьевых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неэнергетических товаров не менее 70 процентов по сравнению с показателем 2023 года;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самозанятых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, до 2,4 млн. человек.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указанных целевых показателей в основном обеспечивается 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 рамках региональных проектов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Вовлечение в оборот и комплексная мелиорация земель с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ельскохозяйственного назначения»,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отраслей ово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щеводства и картофелеводства",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Развитие отраслей и техническая модернизация агропромышленного комплекс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а", "Развитие сельского туризма»,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Стимулирование инвестиционной деятельнос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ти в агропромышленном комплексе»,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Акселерация субъектов малого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и среднего предпринимательства»,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Экспорт продук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ции агропромышленного комплекса»,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Содействие разви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тию агропромышленного комплекса»,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Укрепление материально-технической базы б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юджетных учреждений</w:t>
      </w:r>
      <w:proofErr w:type="gramEnd"/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</w:t>
      </w:r>
      <w:proofErr w:type="gramStart"/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ветеринарии»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и ко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мплекса процессных мероприятий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Формирование государственных информационных ресурсов в сферах обеспечения продовольственной безопасности и управле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ния агропромышленным комплексом»,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Стимулирование муниципальных округов Чувашской Республики к обеспечению устойчивого и динамично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го развития сельского хозяйства»,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Обеспечение эпизоотического благополучия на 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территории Чувашской Республики»,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Обеспечение деятельности Министерства сельского хозяйства Чувашской Республики, Государственной ветеринарной службы Чувашской Республики, Государственной инспекции по надзору за техническим состоянием самоходных машин и</w:t>
      </w:r>
      <w:proofErr w:type="gram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других видов техники Чувашской Республики".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bookmarkStart w:id="6" w:name="sub_1003"/>
      <w:r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III. Задачи государственного управления и способы их эффективного решения</w:t>
      </w:r>
    </w:p>
    <w:bookmarkEnd w:id="6"/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Для следующих достижения целей Муниципальной программы предусматривается реализация следующих задач: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bookmarkStart w:id="7" w:name="sub_1031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1) задачи по достижению цел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и 1 «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значения индекса производства продукции сельского хозяйства (в сопоставимых ценах) в 2035 году в объеме 114,2 процентов 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 отношению к уровню 2023 года»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5E6D41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2) задачи по достижению цели 2 «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рентабельности сельскохозяйственных организаций (с учетом субсидий) в 2035 году в объеме 122,2 процента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по отношению к уровню 2023 года»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5E6D41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3) задачи по достижению цели 3 «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достижение уровня среднемесячной начисленной заработной платы работников сельского хозяйства (без субъектов малого предпринимательства) в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2035 году в размере 77964 рубля»</w:t>
      </w:r>
      <w:r w:rsidR="00242FB0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4) задачи по достижению цели 4 «достижение производства мяса на убой (в живом весе) во всех категориях хозяйств в 2035 году в объеме 121,6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5) задачи по достижению цели 5 «достижение производства молока во всех категориях хозяйств в 2035 году в объеме 115,2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6) задачи по достижению цели 6 «достижение производства яиц во всех категориях хозяйств в 2035 году в объеме 109,9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7) задачи по достижению цели 7 «достижение объема производства зерна во всех категориях хозяйств в 2035 году в объеме 131,4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8) задачи по достижению цели 8 «достижение объема производства картофеля во всех категориях хозяйств в 2035 году в объеме 115,0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9) задачи по достижению цели 9 «достижение объема производства овощей открытого грунта во всех категориях хозяйств в 2035 году в объеме 109 процентов по отношению к уровню 2023 года»;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10) задачи по достижению цели 10 «достижение уровня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энергообеспеченности</w:t>
      </w:r>
      <w:proofErr w:type="spell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на 100 га</w:t>
      </w:r>
      <w:r w:rsidR="005E6D41"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сельскохозяйственных угодий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в 2035 году до 195 </w:t>
      </w:r>
      <w:proofErr w:type="spell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л.</w:t>
      </w:r>
      <w:proofErr w:type="gramStart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</w:t>
      </w:r>
      <w:proofErr w:type="spellEnd"/>
      <w:proofErr w:type="gramEnd"/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.».</w:t>
      </w:r>
    </w:p>
    <w:bookmarkEnd w:id="7"/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Чувашской Республики. Обеспечение устойчивого социально-экономического развития округа в долгосрочной перспективе является первостепенной задачей.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Наиболее важными задачами в сфере реализации Муниципальной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комплексе.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Совершенствование научно-технического обеспечения отраслей агропромышленного комплекса в рамках Муниципальной программы позволит в том числе: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обеспечить прирост сельскохозяйственной продукции, полученной за счет применения новых технологий возделывания сельскохозяйственных культур отечественной селекции, сортов семян и племенной продукции (материала);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реализовать условия для развития научной, научно-технической деятельности и получения результатов, необходимых для создания технологий, продукции, товаров и оказания услуг, обеспечивающих независимость и конкурентоспособность отечественного агропромышленного комплекса;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обеспечить подготовку компетентных кадров для агропромышленного комплекса, способных организовать высокопроизводительное, эффективное и ресурсосберегающее производство в условиях инновационного развития отрасли, экспертного, маркетингового и информационно-аналитического сопровождения агропромышленного комплекса;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провести трансформацию системы профессиональной подготовки и дополнительного образования кадров для агропромышленного комплекса, ориентированной на быструю адаптацию к требованиям научно-технического прогресса;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Одной из немаловажных задач государственного управления в сфере реализации Муниципальной программы является развитие малого агробизнеса и сельскохозяйственной </w:t>
      </w:r>
      <w:r w:rsidRPr="00553CAC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lastRenderedPageBreak/>
        <w:t>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 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туризма;</w:t>
      </w: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8" w:name="sub_100"/>
    </w:p>
    <w:p w:rsidR="00242FB0" w:rsidRPr="00553CAC" w:rsidRDefault="00242FB0" w:rsidP="002524A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Паспорт</w:t>
      </w:r>
      <w:r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br/>
        <w:t>муниципальной программы Янтиковского муниципально</w:t>
      </w:r>
      <w:r w:rsidR="005E6D41"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го округа Чувашской Республики «</w:t>
      </w:r>
      <w:r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про</w:t>
      </w:r>
      <w:r w:rsidR="005E6D41"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дукции, сырья и продовольствия»</w:t>
      </w:r>
    </w:p>
    <w:bookmarkEnd w:id="8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bookmarkStart w:id="9" w:name="sub_101"/>
      <w:r w:rsidRPr="00553CAC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9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999"/>
      </w:tblGrid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Куратор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Глава Янтиковского муниципального округа Ломоносов О.А.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 администрации Янтиковского муниципального округа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Сектор земельных и имущественных отношений отдела экономики, земельных и имущественных отношений;</w:t>
            </w:r>
          </w:p>
          <w:p w:rsidR="00242FB0" w:rsidRPr="00553CAC" w:rsidRDefault="005E6D41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Территориальные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отделы управления по благоустройству и развитию территорий администрации Янтиковского муниципального округа Чувашской Республики.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Направления (подпрограммы)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5E6D41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Развитие отрас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лей агропромышленного комплекса»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.</w:t>
            </w:r>
          </w:p>
          <w:p w:rsidR="00242FB0" w:rsidRPr="00553CAC" w:rsidRDefault="005E6D41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2.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условий разви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тия агропромышленного комплекса»</w:t>
            </w:r>
          </w:p>
        </w:tc>
      </w:tr>
      <w:tr w:rsidR="005E6D41" w:rsidRPr="00553CAC" w:rsidTr="005E6D41"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значения индекса производства продукции сельского хозяйства (в сопоставимых ценах) в 2035 году в объеме 114,2 процента от уровня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рентабельности сельскохозяйственных организаций (с учетом субсидий) в 2035 году в объеме 122,2 процента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77964 рубля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производства мяса на убой (в живом весе) во всех категориях хозяйств в 2035 году в объеме 121,6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производства молока во всех категориях хозяйств в 2035 году в объеме 115,2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производства яиц во всех категориях хозяйств в 2035 году в объеме 109,9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достижение объема производства зерна во всех категориях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хозяйств в 2035 году в объеме 131,4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объема производства картофеля во всех категориях хозяйств в 2035 году в объеме 115,0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объема производства овощей открытого грунта во всех категориях хозяйств в 2035 году в объеме 109 процентов по отношению к уровню 2023 года</w:t>
            </w:r>
          </w:p>
        </w:tc>
      </w:tr>
      <w:tr w:rsidR="005E6D41" w:rsidRPr="00553CAC" w:rsidTr="005E6D41">
        <w:tc>
          <w:tcPr>
            <w:tcW w:w="3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достижение уровня </w:t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энергообеспеченности</w:t>
            </w:r>
            <w:proofErr w:type="spell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на 100 га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сельскохозяйственных угодий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в 2035 году до 195 </w:t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л.</w:t>
            </w:r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2023 - 2030 годы: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I этап: 2023 - 2024 годы;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II этап: 2025 - 2030 годы;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III этап: 2031 - 2035 годы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прогнозируемый объем финансирования Муниципальной программы в 2023 - 2035 годах составляет 3003,2 тыс. рублей, в том числе: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2023 году – 766,0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2024 году – 874,4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2025 году – 918,6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2026 году – 222,1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2027 году – 222,1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2028 году – 0,0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2029 году – 0,0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2030 году – 0,0 тыс. рублей;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 2031 - 2035 годах – 0,0 тыс. рублей</w:t>
            </w:r>
          </w:p>
        </w:tc>
      </w:tr>
      <w:tr w:rsidR="005E6D41" w:rsidRPr="00553CAC" w:rsidTr="005E6D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национальными целями развития Российской Федерации/Государственной программой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национальная цель –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достойный, эффективный труд и успешное предпринимате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льство»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показатель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Обеспечение темпа роста валового внутреннего продукта страны выше среднемирового при сохранении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макроэкономической стабильности»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показатель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устойчивого роста доходов населения и уровня пенсионного обеспечения не ниж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 инфляции»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показатель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Реальный рост инвестиций в основной капитал не менее 70 процентов по ср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авнению с показателем 2023 года»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показатель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Реальный рост экспорта </w:t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несырьевых</w:t>
            </w:r>
            <w:proofErr w:type="spellEnd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неэнергетических товаров не менее 70 процентов по сравнению с показателем 2023 г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ода»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5E6D41" w:rsidP="005E6D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показатель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самозанятых</w:t>
            </w:r>
            <w:proofErr w:type="spellEnd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до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 тыс. человек»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553CAC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0" w:name="sub_102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2. Пока</w:t>
      </w:r>
      <w:r w:rsidR="005E6D41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затели муниципальной программы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Развитие сельского хозяйства и регулирование рынка сельскохозяйственной пр</w:t>
      </w:r>
      <w:r w:rsidR="005E6D41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одукции, сырья и продовольствия»</w:t>
      </w:r>
    </w:p>
    <w:bookmarkEnd w:id="10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176"/>
        <w:gridCol w:w="103"/>
        <w:gridCol w:w="603"/>
        <w:gridCol w:w="706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1294"/>
        <w:gridCol w:w="941"/>
        <w:gridCol w:w="1294"/>
        <w:gridCol w:w="740"/>
        <w:gridCol w:w="201"/>
        <w:gridCol w:w="649"/>
      </w:tblGrid>
      <w:tr w:rsidR="00242FB0" w:rsidRPr="00553CAC" w:rsidTr="00553CAC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5E6D41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Значения показателя по годам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реализуется муниципальным образованием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42FB0" w:rsidRPr="00553CAC" w:rsidTr="00553CAC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Цель 1 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–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«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достижение значения индекса производства продукции сельского хозяйства (в сопоставимых ценах) в 2035 году в объеме 114,2 процента по отношению к уровню 2023 года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Индекс производства продукции сельского хозяйства (в сопоставимых ценах)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val="en-US" w:eastAsia="ru-RU"/>
              </w:rPr>
              <w:t>89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21.01.2020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5E6D41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Цель 2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достижение рентабельности сельскохозяйственных организаций (с учетом субсидий) в 2035 году в объеме 122,2 процента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по отношению к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уровню 2023 года»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рентабельности сельскохозяйственных организаций (с учетом субсидий)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21.01.2020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Цель 3 - 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77964 рубля</w:t>
            </w: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36448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44344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50672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55232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60203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77964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77964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</w:t>
            </w:r>
            <w:r w:rsidR="005E6D41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устойчивого роста доходов населения и уровня пенсионного обеспечения не ниже инфляции;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обеспечение темпа роста валового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Цель 4 «достижение производства мяса на убой (в живом весе) во всех категориях хозяйств в 2035 году в объеме 121,6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производство мяса на убой (в живом весе) во всех категориях хозяйств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1319,7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1440,1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1453,9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1483,0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1512,6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1605,2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1605,2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</w:t>
            </w:r>
            <w:proofErr w:type="spellEnd"/>
            <w:proofErr w:type="gram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Цель 5 «достижение производства молока во всех категориях хозяйств в 2035 году в объеме 115,2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производ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ство молока во всех категориях хозяйств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тонн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2343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2413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5,4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2446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2495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3,2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2545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2701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2701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0,1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Указ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Президента Росс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обеспечени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е темпа роста валового внутреннего продукта страны выше среднемирового при сохранении макроэкономической стабильности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Цель 6 «достижение производства яиц во всех категориях хозяйств в 2035 году в объеме 109,9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производство яиц во всех категориях хозяйств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тыс. штук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3441,1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3440,0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3538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3588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3638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3782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3782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Указ Президента Российской Федерации от 21.07.2020 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Цель 7 «достижение объема производства зерна во всех категориях хозяйств в 2035 году в объеме 131,4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объем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производства зерна во всех категориях хозяйств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тыс.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тонн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28,3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32,9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Указ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Президента Росс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обеспечени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Цель 8 «достижение объема производства картофеля во всех категориях хозяйств в 2035 году в объеме 115,0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 производства картофеля во всех категориях хозяйств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тыс. тонн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Росси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Цель 9 «достижение объема производства овощей открытого грунта во всех категориях хозяйств в 2035 году в объеме 109 процентов по отношению к уровню 2023 года»;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объема производства овощей открытого грунта во всех категориях хозяйств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Росси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йской Федерации от 21.07.2020 №</w:t>
            </w:r>
            <w:r w:rsid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  <w:tr w:rsidR="00242FB0" w:rsidRPr="00553CAC" w:rsidTr="00553CAC">
        <w:trPr>
          <w:trHeight w:val="481"/>
        </w:trPr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Цель 10 «достижение уровня </w:t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энергообеспеченности</w:t>
            </w:r>
            <w:proofErr w:type="spell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на 100 га сельскохозяйственных угодий  в 2035 году до 195 </w:t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л.</w:t>
            </w:r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</w:t>
            </w:r>
            <w:proofErr w:type="spellEnd"/>
            <w:proofErr w:type="gram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.».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553CAC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Энергообеспеченность</w:t>
            </w:r>
            <w:proofErr w:type="spell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на 100 га сельскохозяйственных угодий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</w:t>
            </w:r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Указ Президента Росс</w:t>
            </w:r>
            <w:r w:rsidR="00037BB7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ийской Федерации от 21.07.2020 №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474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Отдел сельского хозяйства и экологии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Чувашстат</w:t>
            </w:r>
            <w:proofErr w:type="spellEnd"/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553CAC">
          <w:headerReference w:type="default" r:id="rId11"/>
          <w:footerReference w:type="default" r:id="rId12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E3993" w:rsidRPr="00EE3993" w:rsidRDefault="00EE3993" w:rsidP="00EE399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1" w:name="sub_103"/>
      <w:r w:rsidRPr="00EE399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3. Структура муни</w:t>
      </w:r>
      <w:r w:rsidR="009B433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ципальной программы «</w:t>
      </w:r>
      <w:r w:rsidRPr="00EE399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Развитие сельского хозяйства и регулирование рынка сельскохозяйственной пр</w:t>
      </w:r>
      <w:r w:rsidR="009B433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одукции, сырья и продовольствия»</w:t>
      </w:r>
    </w:p>
    <w:bookmarkEnd w:id="11"/>
    <w:p w:rsidR="00EE3993" w:rsidRPr="00EE3993" w:rsidRDefault="00EE3993" w:rsidP="00EE399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820"/>
        <w:gridCol w:w="2219"/>
      </w:tblGrid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N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br/>
            </w:r>
            <w:proofErr w:type="spellStart"/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Задачи структурного элемента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Связь с показателями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9B4335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Направление (подпрограмма) «</w:t>
            </w:r>
            <w:r w:rsidR="00EE3993"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Развитие отрас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лей агропромышленного комплекса»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проект "Вовлечение в оборот и комплексная мелиорация земель сельскохозяйственного назначения"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за реализацию: отдел сельского хозяйства и экологии администрации Янтиковского муниципального округа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реализации: 2023 - 2035 годы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1.1.1.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плодородия почв и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индекс производства продукции сельского хозяйства (в сопоставимых ценах) к уровню 2023 года;</w:t>
            </w:r>
          </w:p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Направлен</w:t>
            </w:r>
            <w:r w:rsidR="009B4335">
              <w:rPr>
                <w:rFonts w:ascii="Times New Roman CYR" w:hAnsi="Times New Roman CYR" w:cs="Times New Roman CYR"/>
                <w:kern w:val="0"/>
                <w:lang w:eastAsia="ru-RU"/>
              </w:rPr>
              <w:t>ие (подпрограмма) «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условий разви</w:t>
            </w:r>
            <w:r w:rsidR="009B4335">
              <w:rPr>
                <w:rFonts w:ascii="Times New Roman CYR" w:hAnsi="Times New Roman CYR" w:cs="Times New Roman CYR"/>
                <w:kern w:val="0"/>
                <w:lang w:eastAsia="ru-RU"/>
              </w:rPr>
              <w:t>тия агропромышленного комплекса»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607C60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Ведомственный проект «</w:t>
            </w:r>
            <w:r w:rsidR="00EE3993"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Содействие разви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тию агропромышленного комплекса»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за реализацию отдел сельского хозяйства и экологии администрации Янтиковского муниципального округа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реализации: 2023 - 2035 годы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Увеличение объемов производства сельскохозяйственной продукции в 2035 году к уровню 2023 года по растениеводству на 1,6 раза, животноводству - на 1,7 раза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обеспечена продовольственная безопасность (достигнуты показатели Доктрины продовольственной безопасности Российской Федерации, утвержденной Указом Президента Российской Федерации от 21 января 2020 г. N 20)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индекс производства продукции сельского хозяйства (в сопоставимых ценах) к уровню 2023 года;</w:t>
            </w:r>
          </w:p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доходности сельскохозяйственных товаропроизводителей на уровне не менее 10% ежегодно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обеспечено регулирование ценовой ситуации на рынке сельскохозяйственной продукции, сырья и продовольствия путем проведения закупочных и товарных интервенций на рынках сельскохозяйственной продукции, сырья и продовольствия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индекс производства продукции сельского хозяйства (в сопоставимых ценах) к уровню 2023 года;</w:t>
            </w:r>
          </w:p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2.1.3.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Регулирование рынков сельскохозяйственной 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продукции, сырья и продовольствия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обеспечение общих условий функционирования отраслей 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агропромышленного комплекса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индекс производства 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продукции сельского хозяйства (в сопоставимых ценах) к уровню 2023 года;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2.5.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К</w:t>
            </w:r>
            <w:r w:rsidR="009B4335">
              <w:rPr>
                <w:rFonts w:ascii="Times New Roman CYR" w:hAnsi="Times New Roman CYR" w:cs="Times New Roman CYR"/>
                <w:kern w:val="0"/>
                <w:lang w:eastAsia="ru-RU"/>
              </w:rPr>
              <w:t>омплекс процессных мероприятий «</w:t>
            </w: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эпизоотического благополучия на территории Янтиковского муниципальн</w:t>
            </w:r>
            <w:r w:rsidR="009B4335">
              <w:rPr>
                <w:rFonts w:ascii="Times New Roman CYR" w:hAnsi="Times New Roman CYR" w:cs="Times New Roman CYR"/>
                <w:kern w:val="0"/>
                <w:lang w:eastAsia="ru-RU"/>
              </w:rPr>
              <w:t>ого округа Чувашской Республики»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за реализацию: отдел сельского хозяйства и экологии администрации Янтиковского муниципального округа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реализации: 2023 - 2035 годы</w:t>
            </w:r>
          </w:p>
        </w:tc>
      </w:tr>
      <w:tr w:rsidR="00EE3993" w:rsidRPr="00EE3993" w:rsidTr="009B43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2.5.1.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позволит организовать на территории муниципальных округов и городских округов мероприятия при осуществлении деятельности по обращению с животными без владельцев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93" w:rsidRPr="00EE3993" w:rsidRDefault="00EE3993" w:rsidP="00EE399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E3993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B4335" w:rsidRDefault="009B4335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9B4335" w:rsidSect="009B4335">
          <w:headerReference w:type="default" r:id="rId13"/>
          <w:footerReference w:type="default" r:id="rId14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E3993" w:rsidRDefault="00EE3993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4. Финансовое обеспечение муниципальной программы</w:t>
      </w: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46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86"/>
        <w:gridCol w:w="1134"/>
      </w:tblGrid>
      <w:tr w:rsidR="00242FB0" w:rsidRPr="00553CAC" w:rsidTr="00FF106E">
        <w:tc>
          <w:tcPr>
            <w:tcW w:w="2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муниципальной  программы (комплексной программы), структурного элемента/источник финансового обеспечения</w:t>
            </w:r>
          </w:p>
        </w:tc>
        <w:tc>
          <w:tcPr>
            <w:tcW w:w="1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Всего, тыс. рублей</w:t>
            </w:r>
          </w:p>
        </w:tc>
      </w:tr>
      <w:tr w:rsidR="00242FB0" w:rsidRPr="00553CAC" w:rsidTr="00FF106E"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Муниципальная программа,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874,4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918,6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3003,2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132,6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234,1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697,38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790,17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762,2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2692,95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24,12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27,23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76,15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FF106E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1.1. Проект «</w:t>
            </w:r>
            <w:r w:rsidR="00242FB0"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Вовлечение в оборот и комплексная мелиорация земель с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ельскохозяйственного назначения»</w:t>
            </w:r>
            <w:r w:rsidR="00242FB0"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237,6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132,6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234,1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2,35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1,15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FF106E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1.2. Ведомственный проект «</w:t>
            </w:r>
            <w:r w:rsidR="00242FB0"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 xml:space="preserve">Содействие </w:t>
            </w:r>
            <w:r w:rsidR="00242FB0"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lastRenderedPageBreak/>
              <w:t>разви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тию агропромышленного комплекса»</w:t>
            </w:r>
            <w:r w:rsidR="00242FB0"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481,6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544,7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473,1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1499,4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517,5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449,4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1424,4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75,0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1.3. К</w:t>
            </w:r>
            <w:r w:rsidR="00FF106E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Обеспечение эпизоотического благополучия на территории Янтиковского муниципальн</w:t>
            </w:r>
            <w:r w:rsidR="00FF106E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ого округа Чувашской Республики»</w:t>
            </w: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FF106E"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9B4335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242FB0" w:rsidRPr="00553CAC" w:rsidRDefault="00FF106E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2" w:name="sub_200"/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Паспорт</w:t>
      </w:r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проекта «</w:t>
      </w:r>
      <w:r w:rsidR="00242FB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Вовлечение в оборот и комплексная мелиорация земель с</w:t>
      </w:r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ельскохозяйственного назначения»</w:t>
      </w:r>
    </w:p>
    <w:bookmarkEnd w:id="12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3" w:name="sub_201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1. Основные положения</w:t>
      </w:r>
    </w:p>
    <w:bookmarkEnd w:id="13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1"/>
        <w:gridCol w:w="2619"/>
        <w:gridCol w:w="1350"/>
        <w:gridCol w:w="1275"/>
        <w:gridCol w:w="1276"/>
      </w:tblGrid>
      <w:tr w:rsidR="00242FB0" w:rsidRPr="00553CAC" w:rsidTr="00FF10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Краткое наименование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Вовлечение в оборот и комплексная мелиорация земель сельскохозяйственного назначения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242FB0" w:rsidRPr="00553CAC" w:rsidTr="00FF10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Куратор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Глава Янтиковского муниципального округа</w:t>
            </w:r>
          </w:p>
        </w:tc>
      </w:tr>
      <w:tr w:rsidR="00242FB0" w:rsidRPr="00553CAC" w:rsidTr="00FF10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Руководитель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Козлов Е.А.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</w:t>
            </w:r>
          </w:p>
        </w:tc>
      </w:tr>
      <w:tr w:rsidR="00242FB0" w:rsidRPr="00553CAC" w:rsidTr="00FF10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Администратор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FF106E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  <w:tr w:rsidR="00242FB0" w:rsidRPr="00553CAC" w:rsidTr="00FF106E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FF106E">
          <w:headerReference w:type="default" r:id="rId15"/>
          <w:footerReference w:type="default" r:id="rId16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4" w:name="sub_202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2. Показатели муницип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ального проекта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Вовлечение в оборот и комплексная мелиорация земель с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ельскохозяйственного назначения»</w:t>
      </w:r>
    </w:p>
    <w:bookmarkEnd w:id="14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041"/>
        <w:gridCol w:w="680"/>
        <w:gridCol w:w="794"/>
        <w:gridCol w:w="680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4"/>
        <w:gridCol w:w="794"/>
        <w:gridCol w:w="680"/>
        <w:gridCol w:w="907"/>
        <w:gridCol w:w="1134"/>
      </w:tblGrid>
      <w:tr w:rsidR="00242FB0" w:rsidRPr="00553CAC" w:rsidTr="004A73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Показатели проекта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Декомпозиция на муниципальные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42FB0" w:rsidRPr="00553CAC" w:rsidTr="004A73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Задача «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Предотвращение выбытия из сельскохозяйственного оборота земель с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ельскохозяйственного назначения»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тыс. 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ИС «Электронный бюджет»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Площадь земельных участков, в отношении которых проведены кадастровые работы и осуществлен государственный кадастровый учет земельных участков, государственная собственность на которые не разграничена, из состава земель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РП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 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ИС «Электронный бюджет»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29,04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17,33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ИС «Электронный бюджет»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5" w:name="sub_203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3. Ме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роприятия (результаты) проекта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Вовлечение в оборот и комплексная мелиорация земель сельскохо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зяйственного назначения»</w:t>
      </w:r>
    </w:p>
    <w:bookmarkEnd w:id="15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837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553"/>
        <w:gridCol w:w="1628"/>
        <w:gridCol w:w="918"/>
        <w:gridCol w:w="918"/>
        <w:gridCol w:w="1072"/>
      </w:tblGrid>
      <w:tr w:rsidR="00242FB0" w:rsidRPr="00553CAC" w:rsidTr="00CF618D">
        <w:tc>
          <w:tcPr>
            <w:tcW w:w="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Наименование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Един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ица измерения (по ОКЕИ)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Базовое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значение</w:t>
            </w:r>
          </w:p>
        </w:tc>
        <w:tc>
          <w:tcPr>
            <w:tcW w:w="6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Период, 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Характеристик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а 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Тип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Деком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позиция на муниципальные образования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Связь с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показателями (регионального) ведомственного проекта</w:t>
            </w:r>
          </w:p>
        </w:tc>
      </w:tr>
      <w:tr w:rsidR="00242FB0" w:rsidRPr="00553CAC" w:rsidTr="00CF618D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CF618D"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CF618D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242FB0" w:rsidRPr="00553CAC" w:rsidTr="00CF618D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</w:tr>
      <w:tr w:rsidR="00242FB0" w:rsidRPr="00553CAC" w:rsidTr="00CF618D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Подготовка проектов межевания земельных участков и проведение кадастровых работ на земельных участках, государственная собственность на которые не разграничена, из состава земель сельскохозяйственного назначения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5,18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проведены кадастровые работы и 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земельных долей, находящихся в собственности муниципальных образований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выполнение работ и оказание услуг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242FB0" w:rsidRPr="00553CAC" w:rsidTr="00CF618D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29,04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17,33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выделение земельных участков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выполнение работ и оказание услуг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6" w:name="sub_204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 xml:space="preserve">4. Финансовое 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обеспечение реализации проекта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Вовлечение в оборот и комплексная мелиорация земель сельскох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озяйственного назначения»</w:t>
      </w:r>
    </w:p>
    <w:bookmarkEnd w:id="16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18"/>
        <w:gridCol w:w="804"/>
        <w:gridCol w:w="804"/>
        <w:gridCol w:w="804"/>
        <w:gridCol w:w="804"/>
        <w:gridCol w:w="804"/>
        <w:gridCol w:w="804"/>
        <w:gridCol w:w="804"/>
        <w:gridCol w:w="804"/>
        <w:gridCol w:w="918"/>
        <w:gridCol w:w="1070"/>
      </w:tblGrid>
      <w:tr w:rsidR="00242FB0" w:rsidRPr="00553CAC" w:rsidTr="00CF618D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Всего, тыс. рублей</w:t>
            </w:r>
          </w:p>
        </w:tc>
      </w:tr>
      <w:tr w:rsidR="00242FB0" w:rsidRPr="00553CAC" w:rsidTr="00CF618D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главный распорядитель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группа (подгруппа)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вида расходов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Повышение продукционного потенциала мелиорируемых земель и эффективности использования природных ресурсов</w:t>
            </w: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Подготовка проектов межевания земельных участков и проведение кадастровых работ на земельных участках, государственная собственность на которые не разграничена, из состава земель сельскохозяйственного назначения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237,6</w:t>
            </w: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234,1</w:t>
            </w: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Ц9Б03R5990;</w:t>
            </w:r>
          </w:p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Ц9204R5990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2,35</w:t>
            </w:r>
          </w:p>
        </w:tc>
      </w:tr>
      <w:tr w:rsidR="00242FB0" w:rsidRPr="00553CAC" w:rsidTr="00CF618D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1,15</w:t>
            </w:r>
          </w:p>
        </w:tc>
      </w:tr>
      <w:tr w:rsidR="00242FB0" w:rsidRPr="00553CAC" w:rsidTr="00CF618D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Итого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по проекту: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134,5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237,6</w:t>
            </w:r>
          </w:p>
        </w:tc>
      </w:tr>
      <w:tr w:rsidR="00242FB0" w:rsidRPr="00553CAC" w:rsidTr="00CF618D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234,1</w:t>
            </w:r>
          </w:p>
        </w:tc>
      </w:tr>
      <w:tr w:rsidR="00242FB0" w:rsidRPr="00553CAC" w:rsidTr="00CF618D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республиканский бюджет Чувашской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2,35</w:t>
            </w:r>
          </w:p>
        </w:tc>
      </w:tr>
      <w:tr w:rsidR="00242FB0" w:rsidRPr="00553CAC" w:rsidTr="00CF618D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1,15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553CAC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42FB0" w:rsidRPr="00553CAC" w:rsidRDefault="00FA4DAF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7" w:name="sub_900"/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Паспорт</w:t>
      </w:r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проекта «</w:t>
      </w:r>
      <w:r w:rsidR="00242FB0"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 xml:space="preserve">Содействие развитию агропромышленного </w:t>
      </w:r>
      <w:r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комплекса»</w:t>
      </w:r>
    </w:p>
    <w:bookmarkEnd w:id="17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8" w:name="sub_901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1. Основные положения</w:t>
      </w:r>
    </w:p>
    <w:bookmarkEnd w:id="18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40"/>
        <w:gridCol w:w="2380"/>
        <w:gridCol w:w="1350"/>
        <w:gridCol w:w="1275"/>
        <w:gridCol w:w="1276"/>
      </w:tblGrid>
      <w:tr w:rsidR="00242FB0" w:rsidRPr="00553CAC" w:rsidTr="00CF618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Краткое наименование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Содействие развитию агропромышленного комплекса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242FB0" w:rsidRPr="00553CAC" w:rsidTr="00CF618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Куратор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Глава Янтиковского муниципального округа</w:t>
            </w:r>
          </w:p>
        </w:tc>
      </w:tr>
      <w:tr w:rsidR="00242FB0" w:rsidRPr="00553CAC" w:rsidTr="00CF618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Руководитель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Козлов Е.А.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</w:t>
            </w:r>
          </w:p>
        </w:tc>
      </w:tr>
      <w:tr w:rsidR="00242FB0" w:rsidRPr="00553CAC" w:rsidTr="00CF618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Администратор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CF618D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  <w:tr w:rsidR="00242FB0" w:rsidRPr="00553CAC" w:rsidTr="00CF618D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CF61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33" w:firstLine="533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CF618D">
          <w:headerReference w:type="default" r:id="rId19"/>
          <w:footerReference w:type="default" r:id="rId20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19" w:name="sub_902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2. Показатели проекта "Содействие развитию агропромышленного комплекса"</w:t>
      </w:r>
    </w:p>
    <w:bookmarkEnd w:id="19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041"/>
        <w:gridCol w:w="680"/>
        <w:gridCol w:w="794"/>
        <w:gridCol w:w="680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4"/>
        <w:gridCol w:w="794"/>
        <w:gridCol w:w="680"/>
        <w:gridCol w:w="907"/>
        <w:gridCol w:w="1134"/>
      </w:tblGrid>
      <w:tr w:rsidR="00242FB0" w:rsidRPr="00553CAC" w:rsidTr="004A73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F618D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Показатели проекта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Декомпозиция на муниципальные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42FB0" w:rsidRPr="00553CAC" w:rsidTr="004A73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Увеличение объемов производства сельскохозяйственной продукции в 2035 году к уровню 2023 года по растениеводству на 1,6 раза, животноводству на 1,7 раза</w:t>
            </w:r>
          </w:p>
        </w:tc>
      </w:tr>
      <w:tr w:rsidR="00242FB0" w:rsidRPr="00553CAC" w:rsidTr="004A737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Площадь земельных участков, на которых проведены работы по уничтожению борщевика Сосновского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43,1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25,62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18,42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официальный сайт Минсельхоза Чувашии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0" w:name="sub_903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3. Ме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роприятия (результаты) проекта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Содействие разви</w:t>
      </w:r>
      <w:r w:rsidR="00CF618D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тию агропромышленного комплекса»</w:t>
      </w:r>
    </w:p>
    <w:bookmarkEnd w:id="20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492"/>
        <w:gridCol w:w="918"/>
        <w:gridCol w:w="918"/>
        <w:gridCol w:w="918"/>
      </w:tblGrid>
      <w:tr w:rsidR="00242FB0" w:rsidRPr="00553CAC" w:rsidTr="004A7377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N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Декомпозиция на муниципальные образования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Связь с показателями (регионального) ведомственного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проекта</w:t>
            </w:r>
          </w:p>
        </w:tc>
      </w:tr>
      <w:tr w:rsidR="00242FB0" w:rsidRPr="00553CAC" w:rsidTr="004A7377">
        <w:trPr>
          <w:trHeight w:val="253"/>
        </w:trPr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Содействие развитию агропромышленного комплекса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43,1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25,62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18,42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сокращение площадей произрастания борщевика Сосновского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1" w:name="sub_904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 xml:space="preserve">4. Финансовое </w:t>
      </w:r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обеспечение реализации проекта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Содействие разви</w:t>
      </w:r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тию агропромышленного комплекса»</w:t>
      </w:r>
    </w:p>
    <w:bookmarkEnd w:id="21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18"/>
        <w:gridCol w:w="804"/>
        <w:gridCol w:w="804"/>
        <w:gridCol w:w="804"/>
        <w:gridCol w:w="804"/>
        <w:gridCol w:w="804"/>
        <w:gridCol w:w="804"/>
        <w:gridCol w:w="804"/>
        <w:gridCol w:w="804"/>
        <w:gridCol w:w="918"/>
        <w:gridCol w:w="918"/>
      </w:tblGrid>
      <w:tr w:rsidR="00242FB0" w:rsidRPr="00553CAC" w:rsidTr="004A7377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N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Всего, тыс. рублей</w:t>
            </w:r>
          </w:p>
        </w:tc>
      </w:tr>
      <w:tr w:rsidR="00242FB0" w:rsidRPr="00553CAC" w:rsidTr="004A7377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группа (подгруппа) вида расходов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Реализация комплекса мероприятий по борьбе с распространением борщевика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Сосновского на территории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481,6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544,7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473,1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1499,4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Ц9И0916810; Ц930116810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517,5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1424,4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75,0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Итого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по проекту: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481,6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544,7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473,1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1499,4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517,5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449,4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1424,4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75,0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553CAC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2" w:name="sub_10400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Паспорт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br/>
        <w:t>комплекса процессных мероприятий "Обеспечение эпизоотического благополучия на территории Янтиковского муниципального округа"</w:t>
      </w:r>
    </w:p>
    <w:bookmarkEnd w:id="22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3" w:name="sub_10401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Основные положения</w:t>
      </w: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40"/>
        <w:gridCol w:w="2380"/>
        <w:gridCol w:w="1208"/>
        <w:gridCol w:w="1276"/>
        <w:gridCol w:w="1417"/>
      </w:tblGrid>
      <w:tr w:rsidR="00242FB0" w:rsidRPr="00553CAC" w:rsidTr="00C8203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Краткое наименование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Обеспечение эпизоотического благополучия на территории Янтиковского муниципального округа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C82039" w:rsidP="00C820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98"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31.12.202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242FB0" w:rsidRPr="00553CAC" w:rsidTr="00C8203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Куратор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Глава Янтиковского муниципального округа</w:t>
            </w:r>
          </w:p>
        </w:tc>
      </w:tr>
      <w:tr w:rsidR="00242FB0" w:rsidRPr="00553CAC" w:rsidTr="00C8203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Руководитель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Козлов Е.А.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</w:t>
            </w:r>
          </w:p>
        </w:tc>
      </w:tr>
      <w:tr w:rsidR="00242FB0" w:rsidRPr="00553CAC" w:rsidTr="00C8203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Администратор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C82039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  <w:tr w:rsidR="00242FB0" w:rsidRPr="00553CAC" w:rsidTr="00C82039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bookmarkEnd w:id="23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C82039">
          <w:headerReference w:type="default" r:id="rId23"/>
          <w:footerReference w:type="default" r:id="rId24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4" w:name="sub_10402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2. Показатели ко</w:t>
      </w:r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мплекса процессных мероприятий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Обеспечение эпизоотического благополучия на территории Янтик</w:t>
      </w:r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овского муниципального округа»</w:t>
      </w:r>
    </w:p>
    <w:bookmarkEnd w:id="24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78"/>
        <w:gridCol w:w="647"/>
        <w:gridCol w:w="647"/>
        <w:gridCol w:w="755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970"/>
        <w:gridCol w:w="755"/>
        <w:gridCol w:w="1294"/>
        <w:gridCol w:w="647"/>
        <w:gridCol w:w="647"/>
      </w:tblGrid>
      <w:tr w:rsidR="00242FB0" w:rsidRPr="00553CAC" w:rsidTr="004A7377"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82039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gramStart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Признак реализуется муниципальным образованием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42FB0" w:rsidRPr="00553CAC" w:rsidTr="004A7377"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21</w:t>
            </w:r>
          </w:p>
        </w:tc>
      </w:tr>
      <w:tr w:rsidR="00242FB0" w:rsidRPr="00553CAC" w:rsidTr="004A7377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</w:tr>
      <w:tr w:rsidR="00242FB0" w:rsidRPr="00553CAC" w:rsidTr="004A7377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Закон Российской Фе</w:t>
            </w:r>
            <w:r w:rsidR="00C82039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дерации от 14.05.1993 N 4979-1 «О ветеринарии»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; приказ Минсельхоза России от </w:t>
            </w:r>
            <w:r w:rsidR="00C82039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14.12.2015 № 635 «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 утверждении Ветеринарных правил проведения регионализации </w:t>
            </w:r>
            <w:r w:rsidR="00C82039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территории Российской Федерации»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Госветслужба Чувашии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предупреждение болезней животных и их лечение, выпуск полноценной и безопасной в ветеринарном отношении продукции животного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происхождения и защита населения от болезней, общих для человека и животных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5" w:name="sub_10403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bookmarkEnd w:id="25"/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1400"/>
        <w:gridCol w:w="1960"/>
        <w:gridCol w:w="1260"/>
        <w:gridCol w:w="840"/>
        <w:gridCol w:w="840"/>
        <w:gridCol w:w="840"/>
        <w:gridCol w:w="840"/>
        <w:gridCol w:w="840"/>
        <w:gridCol w:w="840"/>
        <w:gridCol w:w="2289"/>
      </w:tblGrid>
      <w:tr w:rsidR="00242FB0" w:rsidRPr="00553CAC" w:rsidTr="00C8203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82039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242FB0" w:rsidRPr="00553CAC" w:rsidTr="00C820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242FB0" w:rsidRPr="00553CAC" w:rsidTr="00C820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242FB0" w:rsidRPr="00553CAC" w:rsidTr="00C820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</w:tr>
      <w:tr w:rsidR="00242FB0" w:rsidRPr="00553CAC" w:rsidTr="00C820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Финансовое обеспечение передаваемых государственных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использование субвенции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обеспечена организация на территории муниципальных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90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bookmarkStart w:id="26" w:name="sub_10404"/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4. Финансовое обеспечение ре</w:t>
      </w:r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ализации комплекса мероприятий «</w:t>
      </w:r>
      <w:r w:rsidRPr="00553CAC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Обеспечение эпизоотического благополучия на территории Янтиковского муниципального округа</w:t>
      </w:r>
      <w:bookmarkEnd w:id="26"/>
      <w:r w:rsidR="00C82039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18"/>
        <w:gridCol w:w="804"/>
        <w:gridCol w:w="804"/>
        <w:gridCol w:w="804"/>
        <w:gridCol w:w="804"/>
        <w:gridCol w:w="804"/>
        <w:gridCol w:w="804"/>
        <w:gridCol w:w="804"/>
        <w:gridCol w:w="804"/>
        <w:gridCol w:w="918"/>
        <w:gridCol w:w="918"/>
      </w:tblGrid>
      <w:tr w:rsidR="00242FB0" w:rsidRPr="00553CAC" w:rsidTr="004A7377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C82039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№</w:t>
            </w:r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42FB0"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Всего, тыс. рублей</w:t>
            </w:r>
          </w:p>
        </w:tc>
      </w:tr>
      <w:tr w:rsidR="00242FB0" w:rsidRPr="00553CAC" w:rsidTr="004A7377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группа (подгруппа) вида расходов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17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Финансовое обеспечение передаваемых государственных полномочий Чувашской Республики по организации на 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Ц970112750; Ц940340010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4A737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Итого</w:t>
            </w: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по комплексу мероприятий: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272,1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1266,2</w:t>
            </w:r>
          </w:p>
        </w:tc>
      </w:tr>
      <w:tr w:rsidR="00242FB0" w:rsidRPr="00553CAC" w:rsidTr="004A7377"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B0" w:rsidRPr="00553CAC" w:rsidRDefault="00242FB0" w:rsidP="00242F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553CAC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242FB0" w:rsidRPr="00553CAC" w:rsidRDefault="00242FB0" w:rsidP="00242F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sectPr w:rsidR="00242FB0" w:rsidRPr="00553CAC" w:rsidSect="00553CAC">
          <w:headerReference w:type="default" r:id="rId25"/>
          <w:footerReference w:type="default" r:id="rId2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42FB0" w:rsidRPr="00553CAC" w:rsidRDefault="00242FB0" w:rsidP="00C820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2"/>
          <w:sz w:val="22"/>
          <w:szCs w:val="22"/>
        </w:rPr>
      </w:pPr>
    </w:p>
    <w:sectPr w:rsidR="00242FB0" w:rsidRPr="00553CAC" w:rsidSect="00553C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93" w:rsidRDefault="00EE3993" w:rsidP="002F7E02">
      <w:pPr>
        <w:spacing w:line="240" w:lineRule="auto"/>
      </w:pPr>
      <w:r>
        <w:separator/>
      </w:r>
    </w:p>
  </w:endnote>
  <w:endnote w:type="continuationSeparator" w:id="0">
    <w:p w:rsidR="00EE3993" w:rsidRDefault="00EE3993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  <w:gridCol w:w="4854"/>
    </w:tblGrid>
    <w:tr w:rsidR="00EE399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78" w:rsidRDefault="00FA4DAF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EE399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E399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EE399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E399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EE399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E399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E3993" w:rsidRDefault="00EE399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93" w:rsidRDefault="00EE3993" w:rsidP="002F7E02">
      <w:pPr>
        <w:spacing w:line="240" w:lineRule="auto"/>
      </w:pPr>
      <w:r>
        <w:separator/>
      </w:r>
    </w:p>
  </w:footnote>
  <w:footnote w:type="continuationSeparator" w:id="0">
    <w:p w:rsidR="00EE3993" w:rsidRDefault="00EE3993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FF106E" w:rsidRDefault="00EE3993" w:rsidP="00FF106E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93" w:rsidRPr="000E06D9" w:rsidRDefault="00EE3993" w:rsidP="004A7377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08E2803"/>
    <w:multiLevelType w:val="hybridMultilevel"/>
    <w:tmpl w:val="815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7"/>
  </w:num>
  <w:num w:numId="6">
    <w:abstractNumId w:val="24"/>
  </w:num>
  <w:num w:numId="7">
    <w:abstractNumId w:val="18"/>
  </w:num>
  <w:num w:numId="8">
    <w:abstractNumId w:val="22"/>
  </w:num>
  <w:num w:numId="9">
    <w:abstractNumId w:val="26"/>
  </w:num>
  <w:num w:numId="10">
    <w:abstractNumId w:val="7"/>
  </w:num>
  <w:num w:numId="11">
    <w:abstractNumId w:val="25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23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37BB7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05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2FB0"/>
    <w:rsid w:val="00250DC3"/>
    <w:rsid w:val="0025110C"/>
    <w:rsid w:val="00251901"/>
    <w:rsid w:val="002524A0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170D5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377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53CAC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6D41"/>
    <w:rsid w:val="005F1525"/>
    <w:rsid w:val="005F18BD"/>
    <w:rsid w:val="005F276A"/>
    <w:rsid w:val="005F6719"/>
    <w:rsid w:val="00607C60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A6EEF"/>
    <w:rsid w:val="009B4335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46E"/>
    <w:rsid w:val="00B21B1B"/>
    <w:rsid w:val="00B23374"/>
    <w:rsid w:val="00B23B0E"/>
    <w:rsid w:val="00B25DCC"/>
    <w:rsid w:val="00B274B6"/>
    <w:rsid w:val="00B35E29"/>
    <w:rsid w:val="00B37551"/>
    <w:rsid w:val="00B450F7"/>
    <w:rsid w:val="00B51922"/>
    <w:rsid w:val="00B52D78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08BF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039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618D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3993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069A"/>
    <w:rsid w:val="00FA2155"/>
    <w:rsid w:val="00FA4DAF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06E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42FB0"/>
  </w:style>
  <w:style w:type="paragraph" w:customStyle="1" w:styleId="afff9">
    <w:name w:val="Текст (справка)"/>
    <w:basedOn w:val="a"/>
    <w:next w:val="a"/>
    <w:uiPriority w:val="99"/>
    <w:rsid w:val="00242FB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Сноска"/>
    <w:basedOn w:val="a"/>
    <w:next w:val="a"/>
    <w:uiPriority w:val="99"/>
    <w:rsid w:val="00242FB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b">
    <w:name w:val="Цветовое выделение для Текст"/>
    <w:uiPriority w:val="99"/>
    <w:rsid w:val="00242FB0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42FB0"/>
  </w:style>
  <w:style w:type="paragraph" w:customStyle="1" w:styleId="afff9">
    <w:name w:val="Текст (справка)"/>
    <w:basedOn w:val="a"/>
    <w:next w:val="a"/>
    <w:uiPriority w:val="99"/>
    <w:rsid w:val="00242FB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Сноска"/>
    <w:basedOn w:val="a"/>
    <w:next w:val="a"/>
    <w:uiPriority w:val="99"/>
    <w:rsid w:val="00242FB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b">
    <w:name w:val="Цветовое выделение для Текст"/>
    <w:uiPriority w:val="99"/>
    <w:rsid w:val="00242FB0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48763804/1000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3058-B146-43B9-B6A8-D950E4AB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35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208</cp:revision>
  <cp:lastPrinted>2025-05-16T08:55:00Z</cp:lastPrinted>
  <dcterms:created xsi:type="dcterms:W3CDTF">2023-01-09T05:07:00Z</dcterms:created>
  <dcterms:modified xsi:type="dcterms:W3CDTF">2025-05-20T08:41:00Z</dcterms:modified>
</cp:coreProperties>
</file>