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57A" w:rsidRDefault="007D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ПОЯСНИТЕЛЬНАЯ ЗАПИСКА</w:t>
      </w:r>
    </w:p>
    <w:p w:rsidR="007D257A" w:rsidRDefault="007D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 проекту закона Чувашской Республики</w:t>
      </w:r>
    </w:p>
    <w:p w:rsidR="007D257A" w:rsidRDefault="007D257A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«О</w:t>
      </w:r>
      <w:r>
        <w:rPr>
          <w:b/>
          <w:bCs/>
          <w:sz w:val="26"/>
          <w:szCs w:val="26"/>
        </w:rPr>
        <w:t xml:space="preserve"> внесении изменений в статью 5 Закона Чувашской Республики</w:t>
      </w:r>
    </w:p>
    <w:p w:rsidR="007D257A" w:rsidRDefault="007D257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«О государственном регулировании торговой деятельности </w:t>
      </w:r>
    </w:p>
    <w:p w:rsidR="007D257A" w:rsidRDefault="007D257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Чувашской Республике и о внесении изменений в статью 1 </w:t>
      </w:r>
    </w:p>
    <w:p w:rsidR="007D257A" w:rsidRDefault="007D257A">
      <w:pPr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Закона Чувашской Республики «О розничных рынках» </w:t>
      </w:r>
    </w:p>
    <w:p w:rsidR="007D257A" w:rsidRDefault="007D257A">
      <w:pPr>
        <w:jc w:val="both"/>
        <w:outlineLvl w:val="0"/>
        <w:rPr>
          <w:sz w:val="26"/>
          <w:szCs w:val="26"/>
        </w:rPr>
      </w:pPr>
    </w:p>
    <w:p w:rsidR="00D056AA" w:rsidRDefault="00D056AA">
      <w:pPr>
        <w:jc w:val="both"/>
        <w:outlineLvl w:val="0"/>
        <w:rPr>
          <w:sz w:val="26"/>
          <w:szCs w:val="26"/>
        </w:rPr>
      </w:pPr>
      <w:bookmarkStart w:id="0" w:name="_GoBack"/>
      <w:bookmarkEnd w:id="0"/>
    </w:p>
    <w:p w:rsidR="007D257A" w:rsidRDefault="007D257A">
      <w:pPr>
        <w:ind w:firstLine="709"/>
        <w:jc w:val="both"/>
        <w:outlineLvl w:val="0"/>
        <w:rPr>
          <w:bCs/>
          <w:sz w:val="26"/>
          <w:szCs w:val="26"/>
        </w:rPr>
      </w:pPr>
      <w:proofErr w:type="gramStart"/>
      <w:r>
        <w:rPr>
          <w:sz w:val="26"/>
          <w:szCs w:val="26"/>
        </w:rPr>
        <w:t>Проект закона Чувашской Республики «О</w:t>
      </w:r>
      <w:r>
        <w:rPr>
          <w:bCs/>
          <w:sz w:val="26"/>
          <w:szCs w:val="26"/>
        </w:rPr>
        <w:t xml:space="preserve"> внесении изменений в статью 5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Закона Чувашской Республики «О государственном регулировании торговой де</w:t>
      </w:r>
      <w:r>
        <w:rPr>
          <w:bCs/>
          <w:sz w:val="26"/>
          <w:szCs w:val="26"/>
        </w:rPr>
        <w:t>я</w:t>
      </w:r>
      <w:r>
        <w:rPr>
          <w:bCs/>
          <w:sz w:val="26"/>
          <w:szCs w:val="26"/>
        </w:rPr>
        <w:t>тельности в Чувашской Республике и о внесении изменений в статью 1 Закона Ч</w:t>
      </w:r>
      <w:r>
        <w:rPr>
          <w:bCs/>
          <w:sz w:val="26"/>
          <w:szCs w:val="26"/>
        </w:rPr>
        <w:t>у</w:t>
      </w:r>
      <w:r>
        <w:rPr>
          <w:bCs/>
          <w:sz w:val="26"/>
          <w:szCs w:val="26"/>
        </w:rPr>
        <w:t xml:space="preserve">вашской Республики «О розничных рынках» </w:t>
      </w:r>
      <w:r>
        <w:rPr>
          <w:sz w:val="26"/>
          <w:szCs w:val="26"/>
        </w:rPr>
        <w:t>(далее – проект закона) подготовлен в соответствии с Федеральным законом от 30 января 2026 г. № 14-ФЗ «О внесении изменений в Федеральный закон «Об основах государственного регулирования торговой</w:t>
      </w:r>
      <w:proofErr w:type="gramEnd"/>
      <w:r>
        <w:rPr>
          <w:sz w:val="26"/>
          <w:szCs w:val="26"/>
        </w:rPr>
        <w:t xml:space="preserve"> деятельности в Российской Федерации» </w:t>
      </w:r>
      <w:r>
        <w:rPr>
          <w:bCs/>
          <w:sz w:val="26"/>
          <w:szCs w:val="26"/>
        </w:rPr>
        <w:t>в целях формирования конк</w:t>
      </w:r>
      <w:r>
        <w:rPr>
          <w:bCs/>
          <w:sz w:val="26"/>
          <w:szCs w:val="26"/>
        </w:rPr>
        <w:t>у</w:t>
      </w:r>
      <w:r>
        <w:rPr>
          <w:bCs/>
          <w:sz w:val="26"/>
          <w:szCs w:val="26"/>
        </w:rPr>
        <w:t xml:space="preserve">рентной среды и соблюдения прав и законных интересов населения. </w:t>
      </w:r>
    </w:p>
    <w:p w:rsidR="007D257A" w:rsidRDefault="007D257A">
      <w:pPr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В целях комплексного развития регионов и совершенствования регулиров</w:t>
      </w:r>
      <w:r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>ния размещения нестационарных торговых объектов (далее – НТО) субъекты Ро</w:t>
      </w:r>
      <w:r>
        <w:rPr>
          <w:bCs/>
          <w:sz w:val="26"/>
          <w:szCs w:val="26"/>
        </w:rPr>
        <w:t>с</w:t>
      </w:r>
      <w:r>
        <w:rPr>
          <w:bCs/>
          <w:sz w:val="26"/>
          <w:szCs w:val="26"/>
        </w:rPr>
        <w:t>сийской Федерации наделены полномочиями по определению порядка размещения НТО на земельных участках, находящихся в частной собственности, установлению использования мобильных торговых объектов для осуществления торговой де</w:t>
      </w:r>
      <w:r>
        <w:rPr>
          <w:bCs/>
          <w:sz w:val="26"/>
          <w:szCs w:val="26"/>
        </w:rPr>
        <w:t>я</w:t>
      </w:r>
      <w:r>
        <w:rPr>
          <w:bCs/>
          <w:sz w:val="26"/>
          <w:szCs w:val="26"/>
        </w:rPr>
        <w:t>тельности.</w:t>
      </w:r>
    </w:p>
    <w:p w:rsidR="007D257A" w:rsidRDefault="007D257A">
      <w:pPr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85% органов местного самоуправления в Чувашской Республике поддержали необходимость нормативного регулирования размещения мобильных торговых объектов и </w:t>
      </w:r>
      <w:r w:rsidR="00FC415F">
        <w:rPr>
          <w:bCs/>
          <w:sz w:val="26"/>
          <w:szCs w:val="26"/>
        </w:rPr>
        <w:t xml:space="preserve">размещения </w:t>
      </w:r>
      <w:r>
        <w:rPr>
          <w:bCs/>
          <w:sz w:val="26"/>
          <w:szCs w:val="26"/>
        </w:rPr>
        <w:t>НТО на земельных участках, находящихся в частной со</w:t>
      </w:r>
      <w:r>
        <w:rPr>
          <w:bCs/>
          <w:sz w:val="26"/>
          <w:szCs w:val="26"/>
        </w:rPr>
        <w:t>б</w:t>
      </w:r>
      <w:r>
        <w:rPr>
          <w:bCs/>
          <w:sz w:val="26"/>
          <w:szCs w:val="26"/>
        </w:rPr>
        <w:t xml:space="preserve">ственности. </w:t>
      </w:r>
    </w:p>
    <w:p w:rsidR="007D257A" w:rsidRDefault="007D257A">
      <w:pPr>
        <w:ind w:firstLine="709"/>
        <w:jc w:val="both"/>
        <w:outlineLvl w:val="0"/>
        <w:rPr>
          <w:sz w:val="26"/>
          <w:szCs w:val="26"/>
        </w:rPr>
      </w:pPr>
      <w:r>
        <w:rPr>
          <w:bCs/>
          <w:sz w:val="26"/>
          <w:szCs w:val="26"/>
        </w:rPr>
        <w:t>Проектом закона на территории Чувашской Республики предлагается уст</w:t>
      </w:r>
      <w:r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 xml:space="preserve">новить порядок размещения НТО на земельных участках, находящихся в частной собственности, а также порядок использования мобильных торговых объектов для осуществления торговой деятельности. </w:t>
      </w:r>
      <w:proofErr w:type="gramStart"/>
      <w:r>
        <w:rPr>
          <w:bCs/>
          <w:sz w:val="26"/>
          <w:szCs w:val="26"/>
        </w:rPr>
        <w:t>Порядок</w:t>
      </w:r>
      <w:r>
        <w:t xml:space="preserve"> </w:t>
      </w:r>
      <w:r>
        <w:rPr>
          <w:bCs/>
          <w:sz w:val="26"/>
          <w:szCs w:val="26"/>
        </w:rPr>
        <w:t>включения НТО, размещенных на земельных участках, находящихся в частной собственности, в схему размещения НТО и исключения таких объектов из этой схемы</w:t>
      </w:r>
      <w:r>
        <w:rPr>
          <w:bCs/>
          <w:sz w:val="26"/>
          <w:szCs w:val="26"/>
          <w:highlight w:val="white"/>
        </w:rPr>
        <w:t>, а также форму заявления хозя</w:t>
      </w:r>
      <w:r>
        <w:rPr>
          <w:bCs/>
          <w:sz w:val="26"/>
          <w:szCs w:val="26"/>
          <w:highlight w:val="white"/>
        </w:rPr>
        <w:t>й</w:t>
      </w:r>
      <w:r>
        <w:rPr>
          <w:bCs/>
          <w:sz w:val="26"/>
          <w:szCs w:val="26"/>
          <w:highlight w:val="white"/>
        </w:rPr>
        <w:t>ствующих субъектов о включении НТО в схему размещения НТО с перечнем пр</w:t>
      </w:r>
      <w:r>
        <w:rPr>
          <w:bCs/>
          <w:sz w:val="26"/>
          <w:szCs w:val="26"/>
          <w:highlight w:val="white"/>
        </w:rPr>
        <w:t>и</w:t>
      </w:r>
      <w:r>
        <w:rPr>
          <w:bCs/>
          <w:sz w:val="26"/>
          <w:szCs w:val="26"/>
          <w:highlight w:val="white"/>
        </w:rPr>
        <w:t xml:space="preserve">лагаемых к нему документов, требования к НТО и месту их </w:t>
      </w:r>
      <w:r>
        <w:rPr>
          <w:bCs/>
          <w:sz w:val="26"/>
          <w:szCs w:val="26"/>
        </w:rPr>
        <w:t>размещения, особенн</w:t>
      </w:r>
      <w:r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>стям использования НТО для осуществления торговой деятельности планируется утвердить отдельным нормативным правовым</w:t>
      </w:r>
      <w:proofErr w:type="gramEnd"/>
      <w:r>
        <w:rPr>
          <w:bCs/>
          <w:sz w:val="26"/>
          <w:szCs w:val="26"/>
        </w:rPr>
        <w:t xml:space="preserve"> актом</w:t>
      </w:r>
      <w:r w:rsidR="00D056AA">
        <w:rPr>
          <w:bCs/>
          <w:sz w:val="26"/>
          <w:szCs w:val="26"/>
        </w:rPr>
        <w:t xml:space="preserve"> уполномоченного органа</w:t>
      </w:r>
      <w:r>
        <w:rPr>
          <w:bCs/>
          <w:sz w:val="26"/>
          <w:szCs w:val="26"/>
        </w:rPr>
        <w:t>.</w:t>
      </w:r>
    </w:p>
    <w:p w:rsidR="007D257A" w:rsidRDefault="007D257A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Стоит отметить, что настоящий проект закона не накладывает чрезмерных ограничений на субъекты предпринимательской деятельности, а лишь устанавл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вает минимальные требования к ним, направленные на обеспечение </w:t>
      </w:r>
      <w:r>
        <w:rPr>
          <w:bCs/>
          <w:sz w:val="26"/>
          <w:szCs w:val="26"/>
        </w:rPr>
        <w:t>соблюдения требований законодательства.</w:t>
      </w:r>
    </w:p>
    <w:p w:rsidR="007D257A" w:rsidRDefault="007D257A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Включение информации о НТО на земельных участках, находящихся в час</w:t>
      </w:r>
      <w:r>
        <w:rPr>
          <w:bCs/>
          <w:sz w:val="26"/>
          <w:szCs w:val="26"/>
        </w:rPr>
        <w:t>т</w:t>
      </w:r>
      <w:r>
        <w:rPr>
          <w:bCs/>
          <w:sz w:val="26"/>
          <w:szCs w:val="26"/>
        </w:rPr>
        <w:t>ной собственности в общую схему НТО позволит эффективно осуществлять мон</w:t>
      </w:r>
      <w:r>
        <w:rPr>
          <w:bCs/>
          <w:sz w:val="26"/>
          <w:szCs w:val="26"/>
        </w:rPr>
        <w:t>и</w:t>
      </w:r>
      <w:r>
        <w:rPr>
          <w:bCs/>
          <w:sz w:val="26"/>
          <w:szCs w:val="26"/>
        </w:rPr>
        <w:t>торинг деятельности торговых объектов и контролировать соблюдение требований, в том числе в части обеспечения безопасности жизни и здоровья граждан.</w:t>
      </w:r>
    </w:p>
    <w:p w:rsidR="007D257A" w:rsidRDefault="007D257A">
      <w:pPr>
        <w:tabs>
          <w:tab w:val="left" w:pos="0"/>
        </w:tabs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Порядком проведения оценки регулирующего воздействия проектов нормативных правовых актов Чувашской Республики, утвержденным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становлением Кабинета Министров Чувашской Республики от 29 ноября 2012 г. № 532 «О проведении оценки регулирующего воздействия проектов нормативных правовых актов Чувашской Республики», в целях определения воздействия проекта </w:t>
      </w:r>
      <w:r>
        <w:rPr>
          <w:sz w:val="26"/>
          <w:szCs w:val="26"/>
        </w:rPr>
        <w:lastRenderedPageBreak/>
        <w:t>закона на субъекты предпринимательской деятельности проведена оценка регул</w:t>
      </w:r>
      <w:r>
        <w:rPr>
          <w:sz w:val="26"/>
          <w:szCs w:val="26"/>
        </w:rPr>
        <w:t>и</w:t>
      </w:r>
      <w:r>
        <w:rPr>
          <w:sz w:val="26"/>
          <w:szCs w:val="26"/>
        </w:rPr>
        <w:t>рующего воздействия.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Проект закона не содержит положения, вводящие избыто</w:t>
      </w:r>
      <w:r>
        <w:rPr>
          <w:sz w:val="26"/>
          <w:szCs w:val="26"/>
        </w:rPr>
        <w:t>ч</w:t>
      </w:r>
      <w:r>
        <w:rPr>
          <w:sz w:val="26"/>
          <w:szCs w:val="26"/>
        </w:rPr>
        <w:t>ные обязанности, запреты и ограничения для субъектов предпринимательской и иной экономической деятельности или способствующие их введению, а также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>ложения, способствующие возникновению необоснованных расходов субъектов предпринимательской и иной экономической деятельности и республиканского бюджета Чувашской Республики (сводный отчет о результатах проведения оценки регулирующего воздействия проекта закона и заключение по результатам провед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 оценки регулирующего воздействия проекта закона</w:t>
      </w:r>
      <w:proofErr w:type="gramEnd"/>
      <w:r>
        <w:rPr>
          <w:sz w:val="26"/>
          <w:szCs w:val="26"/>
        </w:rPr>
        <w:t xml:space="preserve"> прилагаются).</w:t>
      </w:r>
    </w:p>
    <w:p w:rsidR="007D257A" w:rsidRDefault="007D257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Принятие проекта закона не потребует дополнительных расходов из респу</w:t>
      </w:r>
      <w:r>
        <w:rPr>
          <w:sz w:val="26"/>
          <w:szCs w:val="26"/>
        </w:rPr>
        <w:t>б</w:t>
      </w:r>
      <w:r>
        <w:rPr>
          <w:sz w:val="26"/>
          <w:szCs w:val="26"/>
        </w:rPr>
        <w:t>ликанского бюджета Чувашской Республики.</w:t>
      </w:r>
    </w:p>
    <w:p w:rsidR="007D257A" w:rsidRDefault="007D257A">
      <w:pPr>
        <w:jc w:val="both"/>
        <w:rPr>
          <w:sz w:val="26"/>
          <w:szCs w:val="26"/>
        </w:rPr>
      </w:pPr>
    </w:p>
    <w:p w:rsidR="007D257A" w:rsidRDefault="007D257A">
      <w:pPr>
        <w:jc w:val="both"/>
        <w:rPr>
          <w:sz w:val="26"/>
          <w:szCs w:val="26"/>
        </w:rPr>
      </w:pPr>
    </w:p>
    <w:p w:rsidR="007D257A" w:rsidRDefault="007D257A">
      <w:pPr>
        <w:jc w:val="both"/>
        <w:rPr>
          <w:sz w:val="26"/>
          <w:szCs w:val="26"/>
        </w:rPr>
      </w:pPr>
    </w:p>
    <w:tbl>
      <w:tblPr>
        <w:tblW w:w="9882" w:type="dxa"/>
        <w:tblLook w:val="00A0" w:firstRow="1" w:lastRow="0" w:firstColumn="1" w:lastColumn="0" w:noHBand="0" w:noVBand="0"/>
      </w:tblPr>
      <w:tblGrid>
        <w:gridCol w:w="3826"/>
        <w:gridCol w:w="3636"/>
        <w:gridCol w:w="2420"/>
      </w:tblGrid>
      <w:tr w:rsidR="007D257A">
        <w:tc>
          <w:tcPr>
            <w:tcW w:w="3936" w:type="dxa"/>
          </w:tcPr>
          <w:p w:rsidR="007D257A" w:rsidRDefault="007D257A">
            <w:pPr>
              <w:pStyle w:val="af5"/>
              <w:spacing w:after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Министр </w:t>
            </w:r>
            <w:proofErr w:type="gramStart"/>
            <w:r>
              <w:rPr>
                <w:bCs/>
                <w:sz w:val="26"/>
                <w:szCs w:val="26"/>
              </w:rPr>
              <w:t>экономического</w:t>
            </w:r>
            <w:proofErr w:type="gramEnd"/>
            <w:r>
              <w:rPr>
                <w:bCs/>
                <w:sz w:val="26"/>
                <w:szCs w:val="26"/>
              </w:rPr>
              <w:t xml:space="preserve"> </w:t>
            </w:r>
          </w:p>
          <w:p w:rsidR="007D257A" w:rsidRDefault="007D257A">
            <w:pPr>
              <w:pStyle w:val="af5"/>
              <w:spacing w:after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развития и </w:t>
            </w:r>
            <w:proofErr w:type="gramStart"/>
            <w:r>
              <w:rPr>
                <w:bCs/>
                <w:sz w:val="26"/>
                <w:szCs w:val="26"/>
              </w:rPr>
              <w:t>имущественных</w:t>
            </w:r>
            <w:proofErr w:type="gramEnd"/>
            <w:r>
              <w:rPr>
                <w:bCs/>
                <w:sz w:val="26"/>
                <w:szCs w:val="26"/>
              </w:rPr>
              <w:t xml:space="preserve"> </w:t>
            </w:r>
          </w:p>
          <w:p w:rsidR="007D257A" w:rsidRDefault="007D257A">
            <w:pPr>
              <w:pStyle w:val="af5"/>
              <w:spacing w:after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отношений </w:t>
            </w:r>
            <w:proofErr w:type="gramStart"/>
            <w:r>
              <w:rPr>
                <w:bCs/>
                <w:sz w:val="26"/>
                <w:szCs w:val="26"/>
              </w:rPr>
              <w:t>Чувашской</w:t>
            </w:r>
            <w:proofErr w:type="gramEnd"/>
            <w:r>
              <w:rPr>
                <w:bCs/>
                <w:sz w:val="26"/>
                <w:szCs w:val="26"/>
              </w:rPr>
              <w:t xml:space="preserve"> </w:t>
            </w:r>
          </w:p>
          <w:p w:rsidR="007D257A" w:rsidRDefault="007D257A">
            <w:pPr>
              <w:pStyle w:val="af5"/>
              <w:spacing w:after="0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Республики</w:t>
            </w:r>
          </w:p>
        </w:tc>
        <w:tc>
          <w:tcPr>
            <w:tcW w:w="3456" w:type="dxa"/>
          </w:tcPr>
          <w:p w:rsidR="007D257A" w:rsidRDefault="00D056AA">
            <w:pPr>
              <w:jc w:val="both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pict>
                <v:shape id="_x0000_i0" o:spid="_x0000_i1025" type="#_x0000_t75" style="width:171pt;height:70.2pt;mso-wrap-distance-left:0;mso-wrap-distance-right:0">
                  <v:imagedata r:id="rId7" o:title=""/>
                  <v:path textboxrect="0,0,0,0"/>
                </v:shape>
              </w:pict>
            </w:r>
          </w:p>
          <w:p w:rsidR="007D257A" w:rsidRDefault="007D257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90" w:type="dxa"/>
          </w:tcPr>
          <w:p w:rsidR="007D257A" w:rsidRDefault="007D257A">
            <w:pPr>
              <w:jc w:val="both"/>
              <w:rPr>
                <w:bCs/>
                <w:sz w:val="26"/>
                <w:szCs w:val="26"/>
              </w:rPr>
            </w:pPr>
          </w:p>
          <w:p w:rsidR="007D257A" w:rsidRDefault="007D257A">
            <w:pPr>
              <w:jc w:val="both"/>
              <w:rPr>
                <w:bCs/>
                <w:sz w:val="26"/>
                <w:szCs w:val="26"/>
              </w:rPr>
            </w:pPr>
          </w:p>
          <w:p w:rsidR="007D257A" w:rsidRDefault="007D257A">
            <w:pPr>
              <w:jc w:val="center"/>
              <w:rPr>
                <w:bCs/>
                <w:sz w:val="26"/>
                <w:szCs w:val="26"/>
              </w:rPr>
            </w:pPr>
          </w:p>
          <w:p w:rsidR="007D257A" w:rsidRDefault="007D257A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</w:rPr>
              <w:t>Л.А. Рафикова</w:t>
            </w:r>
          </w:p>
        </w:tc>
      </w:tr>
    </w:tbl>
    <w:p w:rsidR="007D257A" w:rsidRDefault="007D257A">
      <w:pPr>
        <w:ind w:firstLine="709"/>
        <w:jc w:val="both"/>
        <w:outlineLvl w:val="0"/>
        <w:rPr>
          <w:bCs/>
          <w:sz w:val="26"/>
          <w:szCs w:val="26"/>
        </w:rPr>
      </w:pPr>
    </w:p>
    <w:sectPr w:rsidR="007D257A" w:rsidSect="00224EBD">
      <w:headerReference w:type="default" r:id="rId8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57A" w:rsidRDefault="007D257A">
      <w:r>
        <w:separator/>
      </w:r>
    </w:p>
  </w:endnote>
  <w:endnote w:type="continuationSeparator" w:id="0">
    <w:p w:rsidR="007D257A" w:rsidRDefault="007D2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57A" w:rsidRDefault="007D257A">
      <w:r>
        <w:separator/>
      </w:r>
    </w:p>
  </w:footnote>
  <w:footnote w:type="continuationSeparator" w:id="0">
    <w:p w:rsidR="007D257A" w:rsidRDefault="007D2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57A" w:rsidRDefault="00D056AA">
    <w:pPr>
      <w:pStyle w:val="af9"/>
      <w:jc w:val="center"/>
    </w:pPr>
    <w:r>
      <w:fldChar w:fldCharType="begin"/>
    </w:r>
    <w:r>
      <w:instrText>PAGE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D257A" w:rsidRDefault="007D257A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4EBD"/>
    <w:rsid w:val="000E7C65"/>
    <w:rsid w:val="00224EBD"/>
    <w:rsid w:val="00544DA2"/>
    <w:rsid w:val="005A487D"/>
    <w:rsid w:val="007D257A"/>
    <w:rsid w:val="009C22D4"/>
    <w:rsid w:val="00C62DED"/>
    <w:rsid w:val="00D056AA"/>
    <w:rsid w:val="00FC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224EB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24EBD"/>
    <w:pPr>
      <w:keepNext/>
      <w:jc w:val="center"/>
      <w:outlineLvl w:val="0"/>
    </w:pPr>
    <w:rPr>
      <w:b/>
      <w:color w:val="000000"/>
      <w:sz w:val="28"/>
      <w:szCs w:val="26"/>
    </w:rPr>
  </w:style>
  <w:style w:type="paragraph" w:styleId="2">
    <w:name w:val="heading 2"/>
    <w:basedOn w:val="a"/>
    <w:next w:val="a"/>
    <w:link w:val="20"/>
    <w:uiPriority w:val="99"/>
    <w:qFormat/>
    <w:rsid w:val="00224EBD"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rsid w:val="00224EBD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224EBD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224EBD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224EBD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24EBD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224EBD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224EBD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224EBD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9"/>
    <w:locked/>
    <w:rsid w:val="00224EBD"/>
    <w:rPr>
      <w:rFonts w:ascii="Arial" w:hAnsi="Arial" w:cs="Arial"/>
      <w:sz w:val="34"/>
    </w:rPr>
  </w:style>
  <w:style w:type="character" w:customStyle="1" w:styleId="Heading3Char">
    <w:name w:val="Heading 3 Char"/>
    <w:basedOn w:val="a0"/>
    <w:uiPriority w:val="99"/>
    <w:locked/>
    <w:rsid w:val="00224EBD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9"/>
    <w:locked/>
    <w:rsid w:val="00224EBD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locked/>
    <w:rsid w:val="00224EBD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9"/>
    <w:locked/>
    <w:rsid w:val="00224EBD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locked/>
    <w:rsid w:val="00224EBD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locked/>
    <w:rsid w:val="00224EBD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locked/>
    <w:rsid w:val="00224EBD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locked/>
    <w:rsid w:val="00224EBD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locked/>
    <w:rsid w:val="00224EBD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224EBD"/>
    <w:rPr>
      <w:i/>
    </w:rPr>
  </w:style>
  <w:style w:type="character" w:customStyle="1" w:styleId="IntenseQuoteChar">
    <w:name w:val="Intense Quote Char"/>
    <w:uiPriority w:val="99"/>
    <w:rsid w:val="00224EBD"/>
    <w:rPr>
      <w:i/>
    </w:rPr>
  </w:style>
  <w:style w:type="character" w:customStyle="1" w:styleId="FootnoteTextChar">
    <w:name w:val="Footnote Text Char"/>
    <w:uiPriority w:val="99"/>
    <w:rsid w:val="00224EBD"/>
    <w:rPr>
      <w:sz w:val="18"/>
    </w:rPr>
  </w:style>
  <w:style w:type="character" w:customStyle="1" w:styleId="EndnoteTextChar">
    <w:name w:val="Endnote Text Char"/>
    <w:uiPriority w:val="99"/>
    <w:rsid w:val="00224EBD"/>
    <w:rPr>
      <w:sz w:val="20"/>
    </w:rPr>
  </w:style>
  <w:style w:type="table" w:customStyle="1" w:styleId="PlainTable1">
    <w:name w:val="Plain Table 1"/>
    <w:uiPriority w:val="99"/>
    <w:rsid w:val="00224EBD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224EBD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locked/>
    <w:rsid w:val="00224EBD"/>
    <w:rPr>
      <w:rFonts w:ascii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224EBD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locked/>
    <w:rsid w:val="00224EBD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locked/>
    <w:rsid w:val="00224EBD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224EBD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224EBD"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224EBD"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locked/>
    <w:rsid w:val="00224EBD"/>
    <w:rPr>
      <w:rFonts w:ascii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rsid w:val="00224EBD"/>
    <w:pPr>
      <w:ind w:left="720"/>
      <w:contextualSpacing/>
    </w:pPr>
  </w:style>
  <w:style w:type="paragraph" w:styleId="a4">
    <w:name w:val="No Spacing"/>
    <w:uiPriority w:val="99"/>
    <w:qFormat/>
    <w:rsid w:val="00224EBD"/>
  </w:style>
  <w:style w:type="paragraph" w:styleId="a5">
    <w:name w:val="Title"/>
    <w:basedOn w:val="a"/>
    <w:next w:val="a"/>
    <w:link w:val="a6"/>
    <w:uiPriority w:val="99"/>
    <w:qFormat/>
    <w:rsid w:val="00224EBD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224EBD"/>
    <w:rPr>
      <w:rFonts w:cs="Times New Roman"/>
      <w:sz w:val="48"/>
      <w:szCs w:val="48"/>
    </w:rPr>
  </w:style>
  <w:style w:type="paragraph" w:styleId="a7">
    <w:name w:val="Subtitle"/>
    <w:basedOn w:val="a"/>
    <w:next w:val="a"/>
    <w:link w:val="a8"/>
    <w:uiPriority w:val="99"/>
    <w:qFormat/>
    <w:rsid w:val="00224EBD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sid w:val="00224EBD"/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99"/>
    <w:qFormat/>
    <w:rsid w:val="00224EBD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2">
    <w:name w:val="Цитата 2 Знак"/>
    <w:basedOn w:val="a0"/>
    <w:link w:val="21"/>
    <w:uiPriority w:val="99"/>
    <w:locked/>
    <w:rsid w:val="00224EBD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224EB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224EBD"/>
    <w:rPr>
      <w:rFonts w:cs="Times New Roman"/>
      <w:i/>
    </w:rPr>
  </w:style>
  <w:style w:type="character" w:customStyle="1" w:styleId="HeaderChar">
    <w:name w:val="Header Char"/>
    <w:basedOn w:val="a0"/>
    <w:uiPriority w:val="99"/>
    <w:rsid w:val="00224EBD"/>
    <w:rPr>
      <w:rFonts w:cs="Times New Roman"/>
    </w:rPr>
  </w:style>
  <w:style w:type="character" w:customStyle="1" w:styleId="FooterChar">
    <w:name w:val="Footer Char"/>
    <w:basedOn w:val="a0"/>
    <w:uiPriority w:val="99"/>
    <w:rsid w:val="00224EBD"/>
    <w:rPr>
      <w:rFonts w:cs="Times New Roman"/>
    </w:rPr>
  </w:style>
  <w:style w:type="paragraph" w:styleId="ab">
    <w:name w:val="caption"/>
    <w:basedOn w:val="a"/>
    <w:next w:val="a"/>
    <w:uiPriority w:val="99"/>
    <w:qFormat/>
    <w:rsid w:val="00224EBD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224EBD"/>
  </w:style>
  <w:style w:type="table" w:customStyle="1" w:styleId="TableGridLight">
    <w:name w:val="Table Grid Light"/>
    <w:uiPriority w:val="99"/>
    <w:rsid w:val="00224EBD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224EBD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224EBD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224EB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224EBD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rsid w:val="00224EBD"/>
    <w:rPr>
      <w:rFonts w:cs="Times New Roman"/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rsid w:val="00224EBD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ae">
    <w:name w:val="Текст сноски Знак"/>
    <w:basedOn w:val="a0"/>
    <w:link w:val="ad"/>
    <w:uiPriority w:val="99"/>
    <w:locked/>
    <w:rsid w:val="00224EBD"/>
    <w:rPr>
      <w:rFonts w:cs="Times New Roman"/>
      <w:sz w:val="18"/>
    </w:rPr>
  </w:style>
  <w:style w:type="character" w:styleId="af">
    <w:name w:val="footnote reference"/>
    <w:basedOn w:val="a0"/>
    <w:uiPriority w:val="99"/>
    <w:rsid w:val="00224EBD"/>
    <w:rPr>
      <w:rFonts w:cs="Times New Roman"/>
      <w:vertAlign w:val="superscript"/>
    </w:rPr>
  </w:style>
  <w:style w:type="paragraph" w:styleId="af0">
    <w:name w:val="endnote text"/>
    <w:basedOn w:val="a"/>
    <w:link w:val="af1"/>
    <w:uiPriority w:val="99"/>
    <w:semiHidden/>
    <w:rsid w:val="00224EBD"/>
    <w:rPr>
      <w:rFonts w:ascii="Calibri" w:eastAsia="Calibri" w:hAnsi="Calibri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locked/>
    <w:rsid w:val="00224EBD"/>
    <w:rPr>
      <w:rFonts w:cs="Times New Roman"/>
      <w:sz w:val="20"/>
    </w:rPr>
  </w:style>
  <w:style w:type="character" w:styleId="af2">
    <w:name w:val="endnote reference"/>
    <w:basedOn w:val="a0"/>
    <w:uiPriority w:val="99"/>
    <w:semiHidden/>
    <w:rsid w:val="00224EBD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224EBD"/>
    <w:pPr>
      <w:spacing w:after="57"/>
    </w:pPr>
  </w:style>
  <w:style w:type="paragraph" w:styleId="23">
    <w:name w:val="toc 2"/>
    <w:basedOn w:val="a"/>
    <w:next w:val="a"/>
    <w:uiPriority w:val="99"/>
    <w:rsid w:val="00224EBD"/>
    <w:pPr>
      <w:spacing w:after="57"/>
      <w:ind w:left="283"/>
    </w:pPr>
  </w:style>
  <w:style w:type="paragraph" w:styleId="32">
    <w:name w:val="toc 3"/>
    <w:basedOn w:val="a"/>
    <w:next w:val="a"/>
    <w:uiPriority w:val="99"/>
    <w:rsid w:val="00224EBD"/>
    <w:pPr>
      <w:spacing w:after="57"/>
      <w:ind w:left="567"/>
    </w:pPr>
  </w:style>
  <w:style w:type="paragraph" w:styleId="42">
    <w:name w:val="toc 4"/>
    <w:basedOn w:val="a"/>
    <w:next w:val="a"/>
    <w:uiPriority w:val="99"/>
    <w:rsid w:val="00224EBD"/>
    <w:pPr>
      <w:spacing w:after="57"/>
      <w:ind w:left="850"/>
    </w:pPr>
  </w:style>
  <w:style w:type="paragraph" w:styleId="52">
    <w:name w:val="toc 5"/>
    <w:basedOn w:val="a"/>
    <w:next w:val="a"/>
    <w:uiPriority w:val="99"/>
    <w:rsid w:val="00224EBD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224EBD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224EBD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224EBD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224EBD"/>
    <w:pPr>
      <w:spacing w:after="57"/>
      <w:ind w:left="2268"/>
    </w:pPr>
  </w:style>
  <w:style w:type="paragraph" w:styleId="af3">
    <w:name w:val="TOC Heading"/>
    <w:basedOn w:val="1"/>
    <w:uiPriority w:val="99"/>
    <w:qFormat/>
    <w:rsid w:val="00224EBD"/>
    <w:pPr>
      <w:keepNext w:val="0"/>
      <w:jc w:val="left"/>
      <w:outlineLvl w:val="9"/>
    </w:pPr>
    <w:rPr>
      <w:rFonts w:ascii="Calibri" w:eastAsia="Calibri" w:hAnsi="Calibri"/>
      <w:b w:val="0"/>
      <w:color w:val="auto"/>
      <w:sz w:val="22"/>
      <w:szCs w:val="22"/>
    </w:rPr>
  </w:style>
  <w:style w:type="paragraph" w:styleId="af4">
    <w:name w:val="table of figures"/>
    <w:basedOn w:val="a"/>
    <w:next w:val="a"/>
    <w:uiPriority w:val="99"/>
    <w:rsid w:val="00224EBD"/>
  </w:style>
  <w:style w:type="character" w:customStyle="1" w:styleId="10">
    <w:name w:val="Заголовок 1 Знак"/>
    <w:basedOn w:val="a0"/>
    <w:link w:val="1"/>
    <w:uiPriority w:val="99"/>
    <w:locked/>
    <w:rsid w:val="00224EBD"/>
    <w:rPr>
      <w:rFonts w:ascii="Times New Roman" w:hAnsi="Times New Roman" w:cs="Times New Roman"/>
      <w:b/>
      <w:color w:val="000000"/>
      <w:sz w:val="26"/>
      <w:szCs w:val="26"/>
      <w:lang w:eastAsia="ru-RU"/>
    </w:rPr>
  </w:style>
  <w:style w:type="paragraph" w:styleId="af5">
    <w:name w:val="Body Text"/>
    <w:basedOn w:val="a"/>
    <w:link w:val="af6"/>
    <w:uiPriority w:val="99"/>
    <w:rsid w:val="00224EBD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locked/>
    <w:rsid w:val="00224EBD"/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rsid w:val="00224EB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224EBD"/>
    <w:rPr>
      <w:rFonts w:ascii="Tahoma" w:hAnsi="Tahoma" w:cs="Tahoma"/>
      <w:sz w:val="16"/>
      <w:szCs w:val="16"/>
      <w:lang w:eastAsia="ru-RU"/>
    </w:rPr>
  </w:style>
  <w:style w:type="paragraph" w:styleId="af9">
    <w:name w:val="header"/>
    <w:basedOn w:val="a"/>
    <w:link w:val="afa"/>
    <w:uiPriority w:val="99"/>
    <w:rsid w:val="00224EBD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locked/>
    <w:rsid w:val="00224EBD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rsid w:val="00224EBD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locked/>
    <w:rsid w:val="00224EBD"/>
    <w:rPr>
      <w:rFonts w:ascii="Times New Roman" w:hAnsi="Times New Roman" w:cs="Times New Roman"/>
      <w:sz w:val="24"/>
      <w:szCs w:val="24"/>
      <w:lang w:eastAsia="ru-RU"/>
    </w:rPr>
  </w:style>
  <w:style w:type="paragraph" w:styleId="afd">
    <w:name w:val="Normal (Web)"/>
    <w:basedOn w:val="a"/>
    <w:uiPriority w:val="99"/>
    <w:rsid w:val="00224EBD"/>
    <w:pPr>
      <w:spacing w:before="100" w:beforeAutospacing="1" w:after="100" w:afterAutospacing="1"/>
    </w:pPr>
  </w:style>
  <w:style w:type="character" w:customStyle="1" w:styleId="24">
    <w:name w:val="Основной текст (2)_"/>
    <w:link w:val="25"/>
    <w:uiPriority w:val="99"/>
    <w:locked/>
    <w:rsid w:val="00224EBD"/>
    <w:rPr>
      <w:rFonts w:ascii="Times New Roman" w:hAnsi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224EBD"/>
    <w:pPr>
      <w:widowControl w:val="0"/>
      <w:shd w:val="clear" w:color="auto" w:fill="FFFFFF"/>
      <w:spacing w:before="180" w:line="295" w:lineRule="exact"/>
      <w:jc w:val="both"/>
    </w:pPr>
    <w:rPr>
      <w:rFonts w:eastAsia="Calibri"/>
      <w:sz w:val="20"/>
      <w:szCs w:val="20"/>
    </w:rPr>
  </w:style>
  <w:style w:type="table" w:styleId="afe">
    <w:name w:val="Table Grid"/>
    <w:basedOn w:val="a1"/>
    <w:uiPriority w:val="99"/>
    <w:rsid w:val="00224EB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Минэкономики 56.</dc:creator>
  <cp:keywords/>
  <dc:description/>
  <cp:lastModifiedBy>Никифорова Светлана Юрьевна</cp:lastModifiedBy>
  <cp:revision>10</cp:revision>
  <cp:lastPrinted>2026-07-16T08:30:00Z</cp:lastPrinted>
  <dcterms:created xsi:type="dcterms:W3CDTF">2026-05-28T06:03:00Z</dcterms:created>
  <dcterms:modified xsi:type="dcterms:W3CDTF">2026-07-16T08:30:00Z</dcterms:modified>
</cp:coreProperties>
</file>