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5"/>
        <w:jc w:val="center"/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Информация об изменениях, внесенных в нормативные правовые акты, регулирующие осуществление государственного контроля (надзора) 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</w:p>
    <w:p>
      <w:pPr>
        <w:pStyle w:val="835"/>
        <w:jc w:val="center"/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в сфере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туристской индустрии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</w:p>
    <w:tbl>
      <w:tblPr>
        <w:tblStyle w:val="834"/>
        <w:tblW w:w="5010" w:type="pct"/>
        <w:tblLayout w:type="fixed"/>
        <w:tblLook w:val="04A0" w:firstRow="1" w:lastRow="0" w:firstColumn="1" w:lastColumn="0" w:noHBand="0" w:noVBand="1"/>
      </w:tblPr>
      <w:tblGrid>
        <w:gridCol w:w="582"/>
        <w:gridCol w:w="3778"/>
        <w:gridCol w:w="3969"/>
        <w:gridCol w:w="3828"/>
        <w:gridCol w:w="2659"/>
      </w:tblGrid>
      <w:tr>
        <w:tblPrEx/>
        <w:trPr>
          <w:trHeight w:val="629"/>
        </w:trPr>
        <w:tc>
          <w:tcPr>
            <w:tcW w:w="58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  <w:tc>
          <w:tcPr>
            <w:tcW w:w="377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Наименование нормативного правового  акта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Наименование нормативного правового акта, в который вносят изменения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  <w:tc>
          <w:tcPr>
            <w:tcW w:w="382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Изменения, внесенные в 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нормативный правовой акт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6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Сроки и порядок вступления в действие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</w:tr>
      <w:tr>
        <w:tblPrEx/>
        <w:trPr>
          <w:trHeight w:val="404"/>
        </w:trPr>
        <w:tc>
          <w:tcPr>
            <w:tcW w:w="58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3778" w:type="dxa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hyperlink r:id="rId8" w:tooltip="http://publication.pravo.gov.ru/document/0001202511300001" w:history="1"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Постановление Правительства 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Российской Федерации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 от 27 ноября 2025 года № 1912</w:t>
              </w:r>
            </w:hyperlink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 «Об утверждении Правил предоставления гостиничных услуг и услуг иных средств размещения в Российской Федерации»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hyperlink r:id="rId9" w:tooltip="Федеральный закон от 29.12.2012 № 273-ФЗ (ред. от 23.06.2024) " w:history="1"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Постановление Правительства 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Российской Федерации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 от 18.11.2020 № 1853 «Об утверждении Правил предоставления гостиничных услуг в Российской Федерации»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</w:r>
            </w:hyperlink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- утратило силу с 01.03.2026.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Правила регулируют отношения в области предоставления гостиничных услуг и услуг иных средств размещения, подлежащих классификации (гостиницы, санатории, базы отдыха, кемпинги), но не распространяются на средства размещения, деятельность которых регулируетс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я Федеральным законом «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 проведении эксперимента по предоставлению услуг гостевых домов»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59" w:type="dxa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Постановление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вступает в силу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1 марта 20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26 г.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</w:tr>
      <w:tr>
        <w:tblPrEx/>
        <w:trPr>
          <w:trHeight w:val="1662"/>
        </w:trPr>
        <w:tc>
          <w:tcPr>
            <w:tcW w:w="58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778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Приказ Министерства транспорта Российской Федерации от 15 октября 2025 г. № 341 «О внесении изменений в приказ Министерства транспорта Российской Федерации от 28 июня 2007 г. № 82 «Об утверждении Федеральных авиационных правил «Общие правила воздушных пере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возок пассажиров, багажа, грузов и требования к обслуживанию пассажиров, грузоотправителей, грузополучателей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96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Приказ Министерства транспорта Российской Федерации от 28 июня 2007 г. № 82 «Об утверждении Федеральных авиационных правил «Общие правила воздушных пере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возок пассажиров, багажа, грузов и требования к обслуживанию пассажиров, грузоотправителей, грузополучателей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 частности, конкретизирована продолжительность задержки рейса, являющейся основанием для вынужденного отказа пассажира от перевозки либо вынужденного изменения пассажиром договора перевозки (при котором с него не взимается доплата). Таковой будет считатьс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я задержка рейса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более чем на 30 минут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 Время отправления рейса исчисляется от времени начала буксировки воздушного судна или движения воздушного судна с места стоянки на тяге собственных двигателей.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Изменения вступают в силу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1 марта 2026 года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</w:r>
          </w:p>
          <w:p>
            <w:r/>
            <w:r/>
          </w:p>
        </w:tc>
      </w:tr>
      <w:tr>
        <w:tblPrEx/>
        <w:trPr>
          <w:trHeight w:val="1134"/>
        </w:trPr>
        <w:tc>
          <w:tcPr>
            <w:tcW w:w="58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778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Федеральный закон от 29 декабря 2025 г.            № 553-ФЗ «О внесении изменений в Федеральный закон «Об основах туристской деятельности в Российской Федерации» (в части изменения понятия «туристский продукт»)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96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hyperlink r:id="rId10" w:tooltip="Федеральный закон от 29.12.2012 № 273-ФЗ (ред. от 23.06.2024) " w:history="1"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Федеральный закон от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 </w:t>
              </w:r>
            </w:hyperlink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24 ноября 1996 года               № 132-ФЗ «Об основах туристской деятельности в Российской Федерации»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 сфере внутреннего и въездного туризма туристским продуктом является услуга по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размещению в средстве размещения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на территории Российской Федерации и хотя бы одна дополнительная услуга из установленного перечня: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- перевозка туриста любым видом транспорта;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- услуги экскурсовода (гида);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- услуги гида-переводчика;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- услуги инструктора-проводника (обязательны при включе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нии в турпродукт маршрута, требующего сопровождения).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 состав формируемого турпродукта могут включаться и иные услуги, оказываемые за общую цену 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по договору о реализации туристского продукта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Изменения вступают в силу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1 марта 2026 года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1134"/>
        </w:trPr>
        <w:tc>
          <w:tcPr>
            <w:tcW w:w="58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77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Федеральный закон от 24 июня 2025 года № 168-ФЗ «О внесении изменений в отдельные законодательные акты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Российской Федерации»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  <w14:ligatures w14:val="none"/>
              </w:rPr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96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Закон РФ от 07.02.1992 N 2300-1 «О защите прав потребителей»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Согласно новым нормам, вся информация, предназначенная для публичного ознакомления потребителей, в том числе вывески и наименования, должна быть выполнена на русском языке как государственном языке Российской Федерации.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 связи с этим владельцам средств размещения необходимо провести ребрендинг наименований, переведя их с латиницы на кириллицу. Это касается не только вывесок, но и информации, размещаемой на сайтах агрегаторов услуг и сервисах размещения объявлений.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Изменения в наименовании должны быть синхронизированы с данными о средстве размещения, представленными в Едином реестре классифицированных средств размещения.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  <w:t xml:space="preserve">Изменения вступают в силу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:lang w:eastAsia="ru-RU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none"/>
                <w:lang w:eastAsia="ru-RU"/>
              </w:rPr>
              <w:t xml:space="preserve">1 марта 2026 год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1946"/>
        </w:trPr>
        <w:tc>
          <w:tcPr>
            <w:tcW w:w="58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778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Приказ Министерства экономического развития Российской Федерации от 18.11.2025 № 766 «Об утверждении типовых форм договора о реализации туристского продукта, заключаемого между туроператором и туристом и (или) иным заказчиком, и договора о реализации турис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тского продукта, заключаемого между турагентом и туристом и (или) иным заказчиком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969" w:type="dxa"/>
            <w:vMerge w:val="restart"/>
            <w:textDirection w:val="lrTb"/>
            <w:noWrap w:val="false"/>
          </w:tcPr>
          <w:p>
            <w:pPr>
              <w:pStyle w:val="835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Утверждены типовые формы договора о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реализации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туристского продукта, заключаемого между туроператором и туристом и (или) иным заказчиком, и договора о реализации туристского продукта, заключаемого между турагентом и туристом и (или) иным заказчиком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Приказ вступает в силу 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1 марта 2026 г.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946"/>
        </w:trPr>
        <w:tc>
          <w:tcPr>
            <w:tcW w:w="58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778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Постановление Правительства Российской Федерации от 28.11.2025     № 1934 «О представлении сведений и документов, подтверждающих соответствие должностного лица туроператора требованиям, установленным частью третьей                  статьи 4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 Федерального закона «Об основах ту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ристской деятельности в Российской Федерации», в Министерство экономического развития Российской Федерации для внесения в реестр туроператоров».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969" w:type="dxa"/>
            <w:vMerge w:val="restart"/>
            <w:textDirection w:val="lrTb"/>
            <w:noWrap w:val="false"/>
          </w:tcPr>
          <w:p>
            <w:pPr>
              <w:pStyle w:val="835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Правила определяют порядок представления юридическим лицом, намеревающимся осуществлять туроператорскую деятельность или осуществляющим туроператорскую деятельность, сведений и документов, подтверждающих соответствие лиц, 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занимающих должности руководителя туроператора, его заместителя, главного бухгалтера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 иного до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лжностного лица, на которое возлагается ведение бухгалтерского учета туроператора, требованиям, установленным частью третьей            статьи 4 Федерального закона «Об основах туристской деятельности в Российской Федерации», в Министерство экономического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развития Российской Федерации для внесения в единый федеральный реестр туроператоров.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Постановление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вступает       в силу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1 марта 20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26 г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946"/>
        </w:trPr>
        <w:tc>
          <w:tcPr>
            <w:tcW w:w="58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778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Приказ Министерст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ва экономического развития Российской Федерации             от 21 июля 2025 г. № 466 «Об утверждении Правил профессиональной деятельности, регулирующих порядок осуществления объединением туроператоров в сфере выездного туризма и его членами функций, связан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ных с формированием и использованием резервного фонда объединения туроператоров в сфере выездного туризма»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969" w:type="dxa"/>
            <w:vMerge w:val="restart"/>
            <w:textDirection w:val="lrTb"/>
            <w:noWrap w:val="false"/>
          </w:tcPr>
          <w:p>
            <w:pPr>
              <w:pStyle w:val="835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Резервный фонд объединения туроператоров в сфере выездного туризма формируется в соответствии со статьей 11 Федерального закона от 24 ноября 1996 г. №º 132-Ф3 «Об основах туристской деятельности в Российской Федерации»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для финансирования расходов на оказание экстренной помощи туристам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Приказ вступает в силу  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1 марта 2026 года.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</w:r>
          </w:p>
        </w:tc>
      </w:tr>
      <w:tr>
        <w:tblPrEx/>
        <w:trPr>
          <w:trHeight w:val="1946"/>
        </w:trPr>
        <w:tc>
          <w:tcPr>
            <w:tcW w:w="58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778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Приказ Министерства экономического развития Российской Федерации             от 26 ноября 2025 г. № 792 «Об утверждении требований к отчетности туроператора, осуществляющего деятельность в сфере выездного туризма, ее составу и форме»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96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Туроператор, осуществляющий деятельность в сфере выездного туризма, представляет в Министерство экономического развития Российской Федерации отчетность в электронной форме с использованием федеральной государственной информационной системы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«Единый портал государственных и муниципальных услуг (функций)»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 срок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не позднее 15 апреля года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 следующего за отчетным годом, а также в рамках применения особенности определения размера финансового обеспечения ответственности туроператора в сфере выездного туризма, формирующего туристский продукт, предусматривающий выезд туристов исключительно в со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предельные государства.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Приказ вступает в силу  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1 марта 2026 года.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</w:tr>
      <w:tr>
        <w:tblPrEx/>
        <w:trPr>
          <w:trHeight w:val="1493"/>
        </w:trPr>
        <w:tc>
          <w:tcPr>
            <w:tcW w:w="58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778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Постановление Правительства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Российской Федерации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от 27 ноября 2025 г. № 1893 «О внесении изменений в постановление Правительства Российской Федерации от 1 июня 2022 г. № 1003»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96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остановление Правительства Российской Федерации от 1 июня 2022 г. № 1003 «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Об утверждении Положения об аттестации инструкторов-проводников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 частности, поправками уточняется порядок проведения планового подтверждения соответствия инструктора-проводника установленным требованиям.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Также уточнены иные условия и порядок аттестации инструкторов-проводников.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Изменения вступают в силу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1 марта 2026 года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946"/>
        </w:trPr>
        <w:tc>
          <w:tcPr>
            <w:tcW w:w="58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778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Приказ Министерства транспорта Российской Федерации от 2 июля 2025 г. № 200 «Об утверждении Правил туристских железнодорожных перевозок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969" w:type="dxa"/>
            <w:vMerge w:val="restart"/>
            <w:textDirection w:val="lrTb"/>
            <w:noWrap w:val="false"/>
          </w:tcPr>
          <w:p>
            <w:pPr>
              <w:pStyle w:val="835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Правила туристских железнодорожных перевозок применяются при осуществлении перевозок пассажиров и багажа в туристском поезде по туристскому железнодорожному маршруту.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Прописаны правила перевозки пассажиров и багажа, покупки и возврата билетов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на туристические поезда, а также включение в состав тематических вагонов и ряд других положений.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Приказ вступает в силу  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1 марта 2026 года.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2327"/>
        </w:trPr>
        <w:tc>
          <w:tcPr>
            <w:tcW w:w="58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778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Приказ Министерства транспорта Российской Федерации от 30 октября 2025 г. № 362 «Об утверждении Правил морской перевозки пассажиров».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969" w:type="dxa"/>
            <w:vMerge w:val="restart"/>
            <w:textDirection w:val="lrTb"/>
            <w:noWrap w:val="false"/>
          </w:tcPr>
          <w:p>
            <w:pPr>
              <w:pStyle w:val="835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Правила подлежат исполнению при осуществлении международных морских перевозок пассажиров, а также при осуществлении морских перевозок пассажиров между морскими портами Российской Федерации.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Допускается установление перевозчиком дополнительных требований</w:t>
              <w:br/>
              <w:t xml:space="preserve">к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перевозке, которые не должны противоречить настоящим Правилам и ухудшать уровень обслуживания пассажиров.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Приказ вступает в силу  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1 марта 2026 года.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709" w:right="1134" w:bottom="68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8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30"/>
    <w:link w:val="829"/>
    <w:uiPriority w:val="9"/>
    <w:rPr>
      <w:rFonts w:ascii="Arial" w:hAnsi="Arial" w:eastAsia="Arial" w:cs="Arial"/>
      <w:sz w:val="40"/>
      <w:szCs w:val="40"/>
    </w:rPr>
  </w:style>
  <w:style w:type="paragraph" w:styleId="655">
    <w:name w:val="Heading 2"/>
    <w:basedOn w:val="828"/>
    <w:next w:val="828"/>
    <w:link w:val="6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6">
    <w:name w:val="Heading 2 Char"/>
    <w:basedOn w:val="830"/>
    <w:link w:val="655"/>
    <w:uiPriority w:val="9"/>
    <w:rPr>
      <w:rFonts w:ascii="Arial" w:hAnsi="Arial" w:eastAsia="Arial" w:cs="Arial"/>
      <w:sz w:val="34"/>
    </w:rPr>
  </w:style>
  <w:style w:type="paragraph" w:styleId="657">
    <w:name w:val="Heading 3"/>
    <w:basedOn w:val="828"/>
    <w:next w:val="828"/>
    <w:link w:val="6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8">
    <w:name w:val="Heading 3 Char"/>
    <w:basedOn w:val="830"/>
    <w:link w:val="657"/>
    <w:uiPriority w:val="9"/>
    <w:rPr>
      <w:rFonts w:ascii="Arial" w:hAnsi="Arial" w:eastAsia="Arial" w:cs="Arial"/>
      <w:sz w:val="30"/>
      <w:szCs w:val="30"/>
    </w:rPr>
  </w:style>
  <w:style w:type="paragraph" w:styleId="659">
    <w:name w:val="Heading 4"/>
    <w:basedOn w:val="828"/>
    <w:next w:val="828"/>
    <w:link w:val="6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0">
    <w:name w:val="Heading 4 Char"/>
    <w:basedOn w:val="830"/>
    <w:link w:val="659"/>
    <w:uiPriority w:val="9"/>
    <w:rPr>
      <w:rFonts w:ascii="Arial" w:hAnsi="Arial" w:eastAsia="Arial" w:cs="Arial"/>
      <w:b/>
      <w:bCs/>
      <w:sz w:val="26"/>
      <w:szCs w:val="26"/>
    </w:rPr>
  </w:style>
  <w:style w:type="paragraph" w:styleId="661">
    <w:name w:val="Heading 5"/>
    <w:basedOn w:val="828"/>
    <w:next w:val="828"/>
    <w:link w:val="6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2">
    <w:name w:val="Heading 5 Char"/>
    <w:basedOn w:val="830"/>
    <w:link w:val="661"/>
    <w:uiPriority w:val="9"/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828"/>
    <w:next w:val="828"/>
    <w:link w:val="6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4">
    <w:name w:val="Heading 6 Char"/>
    <w:basedOn w:val="830"/>
    <w:link w:val="663"/>
    <w:uiPriority w:val="9"/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28"/>
    <w:next w:val="828"/>
    <w:link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30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28"/>
    <w:next w:val="828"/>
    <w:link w:val="6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30"/>
    <w:link w:val="667"/>
    <w:uiPriority w:val="9"/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28"/>
    <w:next w:val="828"/>
    <w:link w:val="6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30"/>
    <w:link w:val="669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List Paragraph"/>
    <w:basedOn w:val="828"/>
    <w:uiPriority w:val="34"/>
    <w:qFormat/>
    <w:pPr>
      <w:contextualSpacing/>
      <w:ind w:left="720"/>
    </w:pPr>
  </w:style>
  <w:style w:type="paragraph" w:styleId="672">
    <w:name w:val="Title"/>
    <w:basedOn w:val="828"/>
    <w:next w:val="828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basedOn w:val="830"/>
    <w:link w:val="672"/>
    <w:uiPriority w:val="10"/>
    <w:rPr>
      <w:sz w:val="48"/>
      <w:szCs w:val="48"/>
    </w:rPr>
  </w:style>
  <w:style w:type="paragraph" w:styleId="674">
    <w:name w:val="Subtitle"/>
    <w:basedOn w:val="828"/>
    <w:next w:val="828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basedOn w:val="830"/>
    <w:link w:val="674"/>
    <w:uiPriority w:val="11"/>
    <w:rPr>
      <w:sz w:val="24"/>
      <w:szCs w:val="24"/>
    </w:rPr>
  </w:style>
  <w:style w:type="paragraph" w:styleId="676">
    <w:name w:val="Quote"/>
    <w:basedOn w:val="828"/>
    <w:next w:val="828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28"/>
    <w:next w:val="828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28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basedOn w:val="830"/>
    <w:link w:val="680"/>
    <w:uiPriority w:val="99"/>
  </w:style>
  <w:style w:type="paragraph" w:styleId="682">
    <w:name w:val="Footer"/>
    <w:basedOn w:val="828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basedOn w:val="830"/>
    <w:link w:val="682"/>
    <w:uiPriority w:val="99"/>
  </w:style>
  <w:style w:type="paragraph" w:styleId="684">
    <w:name w:val="Caption"/>
    <w:basedOn w:val="828"/>
    <w:next w:val="82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0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2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4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5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6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7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8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9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0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1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7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8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9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0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1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2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9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0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1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2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3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4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5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7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8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9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0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1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2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3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4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5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6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7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8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9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0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1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2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3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4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5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6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7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5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6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7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8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9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0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1">
    <w:name w:val="footnote text"/>
    <w:basedOn w:val="828"/>
    <w:link w:val="812"/>
    <w:uiPriority w:val="99"/>
    <w:semiHidden/>
    <w:unhideWhenUsed/>
    <w:pPr>
      <w:spacing w:after="40" w:line="240" w:lineRule="auto"/>
    </w:pPr>
    <w:rPr>
      <w:sz w:val="18"/>
    </w:rPr>
  </w:style>
  <w:style w:type="character" w:styleId="812">
    <w:name w:val="Footnote Text Char"/>
    <w:link w:val="811"/>
    <w:uiPriority w:val="99"/>
    <w:rPr>
      <w:sz w:val="18"/>
    </w:rPr>
  </w:style>
  <w:style w:type="character" w:styleId="813">
    <w:name w:val="footnote reference"/>
    <w:basedOn w:val="830"/>
    <w:uiPriority w:val="99"/>
    <w:unhideWhenUsed/>
    <w:rPr>
      <w:vertAlign w:val="superscript"/>
    </w:rPr>
  </w:style>
  <w:style w:type="paragraph" w:styleId="814">
    <w:name w:val="endnote text"/>
    <w:basedOn w:val="828"/>
    <w:link w:val="815"/>
    <w:uiPriority w:val="99"/>
    <w:semiHidden/>
    <w:unhideWhenUsed/>
    <w:pPr>
      <w:spacing w:after="0" w:line="240" w:lineRule="auto"/>
    </w:pPr>
    <w:rPr>
      <w:sz w:val="20"/>
    </w:rPr>
  </w:style>
  <w:style w:type="character" w:styleId="815">
    <w:name w:val="Endnote Text Char"/>
    <w:link w:val="814"/>
    <w:uiPriority w:val="99"/>
    <w:rPr>
      <w:sz w:val="20"/>
    </w:rPr>
  </w:style>
  <w:style w:type="character" w:styleId="816">
    <w:name w:val="endnote reference"/>
    <w:basedOn w:val="830"/>
    <w:uiPriority w:val="99"/>
    <w:semiHidden/>
    <w:unhideWhenUsed/>
    <w:rPr>
      <w:vertAlign w:val="superscript"/>
    </w:rPr>
  </w:style>
  <w:style w:type="paragraph" w:styleId="817">
    <w:name w:val="toc 1"/>
    <w:basedOn w:val="828"/>
    <w:next w:val="828"/>
    <w:uiPriority w:val="39"/>
    <w:unhideWhenUsed/>
    <w:pPr>
      <w:ind w:left="0" w:right="0" w:firstLine="0"/>
      <w:spacing w:after="57"/>
    </w:pPr>
  </w:style>
  <w:style w:type="paragraph" w:styleId="818">
    <w:name w:val="toc 2"/>
    <w:basedOn w:val="828"/>
    <w:next w:val="828"/>
    <w:uiPriority w:val="39"/>
    <w:unhideWhenUsed/>
    <w:pPr>
      <w:ind w:left="283" w:right="0" w:firstLine="0"/>
      <w:spacing w:after="57"/>
    </w:pPr>
  </w:style>
  <w:style w:type="paragraph" w:styleId="819">
    <w:name w:val="toc 3"/>
    <w:basedOn w:val="828"/>
    <w:next w:val="828"/>
    <w:uiPriority w:val="39"/>
    <w:unhideWhenUsed/>
    <w:pPr>
      <w:ind w:left="567" w:right="0" w:firstLine="0"/>
      <w:spacing w:after="57"/>
    </w:pPr>
  </w:style>
  <w:style w:type="paragraph" w:styleId="820">
    <w:name w:val="toc 4"/>
    <w:basedOn w:val="828"/>
    <w:next w:val="828"/>
    <w:uiPriority w:val="39"/>
    <w:unhideWhenUsed/>
    <w:pPr>
      <w:ind w:left="850" w:right="0" w:firstLine="0"/>
      <w:spacing w:after="57"/>
    </w:pPr>
  </w:style>
  <w:style w:type="paragraph" w:styleId="821">
    <w:name w:val="toc 5"/>
    <w:basedOn w:val="828"/>
    <w:next w:val="828"/>
    <w:uiPriority w:val="39"/>
    <w:unhideWhenUsed/>
    <w:pPr>
      <w:ind w:left="1134" w:right="0" w:firstLine="0"/>
      <w:spacing w:after="57"/>
    </w:pPr>
  </w:style>
  <w:style w:type="paragraph" w:styleId="822">
    <w:name w:val="toc 6"/>
    <w:basedOn w:val="828"/>
    <w:next w:val="828"/>
    <w:uiPriority w:val="39"/>
    <w:unhideWhenUsed/>
    <w:pPr>
      <w:ind w:left="1417" w:right="0" w:firstLine="0"/>
      <w:spacing w:after="57"/>
    </w:pPr>
  </w:style>
  <w:style w:type="paragraph" w:styleId="823">
    <w:name w:val="toc 7"/>
    <w:basedOn w:val="828"/>
    <w:next w:val="828"/>
    <w:uiPriority w:val="39"/>
    <w:unhideWhenUsed/>
    <w:pPr>
      <w:ind w:left="1701" w:right="0" w:firstLine="0"/>
      <w:spacing w:after="57"/>
    </w:pPr>
  </w:style>
  <w:style w:type="paragraph" w:styleId="824">
    <w:name w:val="toc 8"/>
    <w:basedOn w:val="828"/>
    <w:next w:val="828"/>
    <w:uiPriority w:val="39"/>
    <w:unhideWhenUsed/>
    <w:pPr>
      <w:ind w:left="1984" w:right="0" w:firstLine="0"/>
      <w:spacing w:after="57"/>
    </w:pPr>
  </w:style>
  <w:style w:type="paragraph" w:styleId="825">
    <w:name w:val="toc 9"/>
    <w:basedOn w:val="828"/>
    <w:next w:val="828"/>
    <w:uiPriority w:val="39"/>
    <w:unhideWhenUsed/>
    <w:pPr>
      <w:ind w:left="2268" w:right="0" w:firstLine="0"/>
      <w:spacing w:after="57"/>
    </w:pPr>
  </w:style>
  <w:style w:type="paragraph" w:styleId="826">
    <w:name w:val="TOC Heading"/>
    <w:uiPriority w:val="39"/>
    <w:unhideWhenUsed/>
  </w:style>
  <w:style w:type="paragraph" w:styleId="827">
    <w:name w:val="table of figures"/>
    <w:basedOn w:val="828"/>
    <w:next w:val="828"/>
    <w:uiPriority w:val="99"/>
    <w:unhideWhenUsed/>
    <w:pPr>
      <w:spacing w:after="0" w:afterAutospacing="0"/>
    </w:pPr>
  </w:style>
  <w:style w:type="paragraph" w:styleId="828" w:default="1">
    <w:name w:val="Normal"/>
    <w:qFormat/>
  </w:style>
  <w:style w:type="paragraph" w:styleId="829">
    <w:name w:val="Heading 1"/>
    <w:basedOn w:val="828"/>
    <w:link w:val="833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character" w:styleId="833" w:customStyle="1">
    <w:name w:val="Заголовок 1 Знак"/>
    <w:basedOn w:val="830"/>
    <w:link w:val="829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table" w:styleId="834">
    <w:name w:val="Table Grid"/>
    <w:basedOn w:val="83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5">
    <w:name w:val="No Spacing"/>
    <w:uiPriority w:val="1"/>
    <w:qFormat/>
    <w:pPr>
      <w:spacing w:after="0" w:line="240" w:lineRule="auto"/>
    </w:pPr>
  </w:style>
  <w:style w:type="character" w:styleId="836">
    <w:name w:val="Hyperlink"/>
    <w:basedOn w:val="830"/>
    <w:uiPriority w:val="99"/>
    <w:semiHidden/>
    <w:unhideWhenUsed/>
    <w:rPr>
      <w:color w:val="0000ff"/>
      <w:u w:val="single"/>
    </w:rPr>
  </w:style>
  <w:style w:type="paragraph" w:styleId="837">
    <w:name w:val="Normal (Web)"/>
    <w:basedOn w:val="82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38" w:customStyle="1">
    <w:name w:val="ConsPlusTitlePag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ahoma" w:hAnsi="Tahoma" w:eastAsia="Times New Roman" w:cs="Tahom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://publication.pravo.gov.ru/document/0001202511300001" TargetMode="External"/><Relationship Id="rId9" Type="http://schemas.openxmlformats.org/officeDocument/2006/relationships/hyperlink" Target="https://obrazov.cap.ru/action/activity/nadzor-i-kontrolj-v-sfere-obrazovaniya/gosudarstvennaya-akkreditaciya-obrazovateljnoj-dey/profilaktika-riskov-pricheneniya-vreda/1-teksti-normativnih-pravovih-aktov-reguliruyuschi/federaljnij-zakon-ot-04082012-n-273-fz-red-ot-0408" TargetMode="External"/><Relationship Id="rId10" Type="http://schemas.openxmlformats.org/officeDocument/2006/relationships/hyperlink" Target="https://obrazov.cap.ru/action/activity/nadzor-i-kontrolj-v-sfere-obrazovaniya/gosudarstvennaya-akkreditaciya-obrazovateljnoj-dey/profilaktika-riskov-pricheneniya-vreda/1-teksti-normativnih-pravovih-aktov-reguliruyuschi/federaljnij-zakon-ot-04082012-n-273-fz-red-ot-040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надзор5</dc:creator>
  <cp:lastModifiedBy>economy122@cap.ru</cp:lastModifiedBy>
  <cp:revision>15</cp:revision>
  <dcterms:created xsi:type="dcterms:W3CDTF">2024-07-30T10:13:00Z</dcterms:created>
  <dcterms:modified xsi:type="dcterms:W3CDTF">2026-04-02T13:21:43Z</dcterms:modified>
</cp:coreProperties>
</file>