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6B8" w:rsidRDefault="00BE1A18">
      <w:pPr>
        <w:spacing w:after="0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Результаты мониторинга</w:t>
      </w:r>
    </w:p>
    <w:p w:rsidR="000976B8" w:rsidRDefault="00BE1A1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удовлетворенности потребителей качеством услуг, предоставляемых</w:t>
      </w:r>
    </w:p>
    <w:p w:rsidR="000976B8" w:rsidRDefault="00BE1A1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</w:t>
      </w:r>
      <w:r w:rsidR="0098781A">
        <w:rPr>
          <w:rFonts w:ascii="Times New Roman" w:hAnsi="Times New Roman"/>
          <w:b/>
          <w:sz w:val="28"/>
        </w:rPr>
        <w:t>АУК</w:t>
      </w:r>
      <w:r>
        <w:rPr>
          <w:rFonts w:ascii="Times New Roman" w:hAnsi="Times New Roman"/>
          <w:b/>
          <w:sz w:val="28"/>
        </w:rPr>
        <w:t xml:space="preserve"> «Чебоксарск</w:t>
      </w:r>
      <w:r w:rsidR="0098781A">
        <w:rPr>
          <w:rFonts w:ascii="Times New Roman" w:hAnsi="Times New Roman"/>
          <w:b/>
          <w:sz w:val="28"/>
        </w:rPr>
        <w:t>ий</w:t>
      </w:r>
      <w:r>
        <w:rPr>
          <w:rFonts w:ascii="Times New Roman" w:hAnsi="Times New Roman"/>
          <w:b/>
          <w:sz w:val="28"/>
        </w:rPr>
        <w:t xml:space="preserve"> </w:t>
      </w:r>
      <w:r w:rsidR="0098781A">
        <w:rPr>
          <w:rFonts w:ascii="Times New Roman" w:hAnsi="Times New Roman"/>
          <w:b/>
          <w:sz w:val="28"/>
        </w:rPr>
        <w:t>городской детский парк имени космонавта А.Г. Николаева</w:t>
      </w:r>
      <w:r>
        <w:rPr>
          <w:rFonts w:ascii="Times New Roman" w:hAnsi="Times New Roman"/>
          <w:b/>
          <w:sz w:val="28"/>
        </w:rPr>
        <w:t>» в</w:t>
      </w:r>
      <w:r w:rsidR="0035602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202</w:t>
      </w:r>
      <w:r w:rsidR="00356028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г.</w:t>
      </w:r>
    </w:p>
    <w:p w:rsidR="000976B8" w:rsidRDefault="000976B8">
      <w:pPr>
        <w:spacing w:after="0"/>
        <w:jc w:val="both"/>
        <w:rPr>
          <w:rFonts w:ascii="Times New Roman" w:hAnsi="Times New Roman"/>
          <w:sz w:val="28"/>
        </w:rPr>
      </w:pPr>
    </w:p>
    <w:p w:rsidR="000976B8" w:rsidRDefault="006875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</w:t>
      </w:r>
      <w:r w:rsidR="0035602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</w:t>
      </w:r>
      <w:r w:rsidR="00BE1A18">
        <w:rPr>
          <w:rFonts w:ascii="Times New Roman" w:hAnsi="Times New Roman"/>
          <w:sz w:val="28"/>
        </w:rPr>
        <w:t xml:space="preserve"> проведено анкетирование посетителей </w:t>
      </w:r>
      <w:r w:rsidR="0098781A" w:rsidRPr="0098781A">
        <w:rPr>
          <w:rFonts w:ascii="Times New Roman" w:hAnsi="Times New Roman"/>
          <w:sz w:val="28"/>
        </w:rPr>
        <w:t>Чебоксарского городского детского парка имени космонавта А.Г. Николаева</w:t>
      </w:r>
      <w:r w:rsidR="00BE1A18">
        <w:rPr>
          <w:rFonts w:ascii="Times New Roman" w:hAnsi="Times New Roman"/>
          <w:sz w:val="28"/>
        </w:rPr>
        <w:t xml:space="preserve">. Для изучения мнения населения согласно </w:t>
      </w:r>
      <w:proofErr w:type="gramStart"/>
      <w:r w:rsidR="00BE1A18">
        <w:rPr>
          <w:rFonts w:ascii="Times New Roman" w:hAnsi="Times New Roman"/>
          <w:sz w:val="28"/>
        </w:rPr>
        <w:t>Постановлению Администрации города</w:t>
      </w:r>
      <w:proofErr w:type="gramEnd"/>
      <w:r w:rsidR="00BE1A18">
        <w:rPr>
          <w:rFonts w:ascii="Times New Roman" w:hAnsi="Times New Roman"/>
          <w:sz w:val="28"/>
        </w:rPr>
        <w:t xml:space="preserve"> Чебоксары от 12.08.2015 № 2631 «Об утверждении порядка изучения мнения населения города Чебоксары о качестве оказания муниципальными учреждениями культуры города Чебоксары муниципальных услуг» достаточно одной пятой от среднемесячного количества получателей муниципальных услуг. В опросе приняло участие </w:t>
      </w:r>
      <w:r w:rsidR="001F1436">
        <w:rPr>
          <w:rFonts w:ascii="Times New Roman" w:hAnsi="Times New Roman"/>
          <w:sz w:val="28"/>
        </w:rPr>
        <w:t>3442</w:t>
      </w:r>
      <w:r w:rsidR="00BE1A18">
        <w:rPr>
          <w:rFonts w:ascii="Times New Roman" w:hAnsi="Times New Roman"/>
          <w:sz w:val="28"/>
        </w:rPr>
        <w:t xml:space="preserve"> респондент</w:t>
      </w:r>
      <w:r w:rsidR="0098781A">
        <w:rPr>
          <w:rFonts w:ascii="Times New Roman" w:hAnsi="Times New Roman"/>
          <w:sz w:val="28"/>
        </w:rPr>
        <w:t xml:space="preserve">а </w:t>
      </w:r>
      <w:r w:rsidR="00BE1A18">
        <w:rPr>
          <w:rFonts w:ascii="Times New Roman" w:hAnsi="Times New Roman"/>
          <w:sz w:val="28"/>
        </w:rPr>
        <w:t xml:space="preserve">– это </w:t>
      </w:r>
      <w:r w:rsidR="0098781A">
        <w:rPr>
          <w:rFonts w:ascii="Times New Roman" w:hAnsi="Times New Roman"/>
          <w:sz w:val="28"/>
        </w:rPr>
        <w:t>посетители парка</w:t>
      </w:r>
      <w:r w:rsidR="00BE1A18">
        <w:rPr>
          <w:rFonts w:ascii="Times New Roman" w:hAnsi="Times New Roman"/>
          <w:sz w:val="28"/>
        </w:rPr>
        <w:t>.</w:t>
      </w:r>
    </w:p>
    <w:p w:rsidR="000976B8" w:rsidRDefault="000976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976B8" w:rsidRPr="00356028" w:rsidRDefault="00BE1A18" w:rsidP="003560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За получением какой услуги вы обратились (</w:t>
      </w:r>
      <w:r w:rsidR="001F1436">
        <w:rPr>
          <w:rFonts w:ascii="Times New Roman" w:hAnsi="Times New Roman"/>
          <w:b/>
          <w:sz w:val="28"/>
        </w:rPr>
        <w:t>3442</w:t>
      </w:r>
      <w:r w:rsidR="0068756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чел.)</w:t>
      </w:r>
      <w:r>
        <w:rPr>
          <w:rFonts w:ascii="Times New Roman" w:hAnsi="Times New Roman"/>
          <w:sz w:val="28"/>
        </w:rPr>
        <w:t xml:space="preserve">: </w:t>
      </w:r>
      <w:r w:rsidR="00356028" w:rsidRPr="00356028">
        <w:rPr>
          <w:rFonts w:ascii="Times New Roman" w:hAnsi="Times New Roman"/>
          <w:sz w:val="28"/>
        </w:rPr>
        <w:t xml:space="preserve">посещение зооуголка, аттракционов, катка в зимнее время, </w:t>
      </w:r>
      <w:r w:rsidR="00356028">
        <w:rPr>
          <w:rFonts w:ascii="Times New Roman" w:hAnsi="Times New Roman"/>
          <w:sz w:val="28"/>
        </w:rPr>
        <w:t xml:space="preserve">на экскурсию в зооуголок, развлечения, семейный отдых, к сотрудникам парка, на детскую площадку, катание на машинках, езда на пони, сладкая вата, </w:t>
      </w:r>
      <w:r w:rsidR="0098781A">
        <w:rPr>
          <w:rFonts w:ascii="Times New Roman" w:hAnsi="Times New Roman"/>
          <w:sz w:val="28"/>
        </w:rPr>
        <w:t xml:space="preserve">на </w:t>
      </w:r>
      <w:r w:rsidR="00356028">
        <w:rPr>
          <w:rFonts w:ascii="Times New Roman" w:hAnsi="Times New Roman"/>
          <w:sz w:val="28"/>
        </w:rPr>
        <w:t>праздник, прогулка, на Масленицу пришли.</w:t>
      </w:r>
    </w:p>
    <w:p w:rsidR="000976B8" w:rsidRDefault="000976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976B8" w:rsidRDefault="00BE1A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b/>
          <w:sz w:val="28"/>
        </w:rPr>
        <w:t>Насколько качество предоставления услуги соответствует Вашим ожиданиям:</w:t>
      </w:r>
      <w:r>
        <w:rPr>
          <w:rFonts w:ascii="Times New Roman" w:hAnsi="Times New Roman"/>
          <w:sz w:val="28"/>
        </w:rPr>
        <w:t xml:space="preserve"> </w:t>
      </w:r>
    </w:p>
    <w:p w:rsidR="000976B8" w:rsidRDefault="000976B8">
      <w:pPr>
        <w:spacing w:after="0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5"/>
        <w:gridCol w:w="1132"/>
        <w:gridCol w:w="1194"/>
        <w:gridCol w:w="2582"/>
        <w:gridCol w:w="978"/>
      </w:tblGrid>
      <w:tr w:rsidR="000976B8">
        <w:tc>
          <w:tcPr>
            <w:tcW w:w="4069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Критерии оценки</w:t>
            </w:r>
          </w:p>
        </w:tc>
        <w:tc>
          <w:tcPr>
            <w:tcW w:w="1001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Очень хорошо </w:t>
            </w:r>
          </w:p>
        </w:tc>
        <w:tc>
          <w:tcPr>
            <w:tcW w:w="1134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Хорошо </w:t>
            </w:r>
          </w:p>
        </w:tc>
        <w:tc>
          <w:tcPr>
            <w:tcW w:w="2409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Удовлетворительно</w:t>
            </w:r>
          </w:p>
        </w:tc>
        <w:tc>
          <w:tcPr>
            <w:tcW w:w="958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Плохо</w:t>
            </w:r>
          </w:p>
        </w:tc>
      </w:tr>
      <w:tr w:rsidR="000976B8">
        <w:tc>
          <w:tcPr>
            <w:tcW w:w="4069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Комфортность помещения, предназначенного для оказания услуги</w:t>
            </w:r>
          </w:p>
        </w:tc>
        <w:tc>
          <w:tcPr>
            <w:tcW w:w="1001" w:type="dxa"/>
            <w:vAlign w:val="center"/>
          </w:tcPr>
          <w:p w:rsidR="000976B8" w:rsidRDefault="00633CF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2895</w:t>
            </w:r>
            <w:r w:rsidR="00BE1A18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(84,1</w:t>
            </w:r>
            <w:r w:rsidR="00BE1A18"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1134" w:type="dxa"/>
            <w:vAlign w:val="center"/>
          </w:tcPr>
          <w:p w:rsidR="000976B8" w:rsidRDefault="00D20CD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633CF3">
              <w:rPr>
                <w:rFonts w:ascii="Times New Roman" w:hAnsi="Times New Roman"/>
                <w:sz w:val="28"/>
              </w:rPr>
              <w:t>54</w:t>
            </w:r>
            <w:r w:rsidR="00BE1A18">
              <w:rPr>
                <w:rFonts w:ascii="Times New Roman" w:hAnsi="Times New Roman"/>
                <w:sz w:val="28"/>
              </w:rPr>
              <w:t xml:space="preserve"> (</w:t>
            </w:r>
            <w:r w:rsidR="00410819">
              <w:rPr>
                <w:rFonts w:ascii="Times New Roman" w:hAnsi="Times New Roman"/>
                <w:sz w:val="28"/>
              </w:rPr>
              <w:t>1</w:t>
            </w:r>
            <w:r w:rsidR="00633CF3">
              <w:rPr>
                <w:rFonts w:ascii="Times New Roman" w:hAnsi="Times New Roman"/>
                <w:sz w:val="28"/>
              </w:rPr>
              <w:t>3,2</w:t>
            </w:r>
            <w:r w:rsidR="00BE1A18"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2409" w:type="dxa"/>
            <w:vAlign w:val="center"/>
          </w:tcPr>
          <w:p w:rsidR="000976B8" w:rsidRDefault="00633CF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</w:t>
            </w:r>
            <w:r w:rsidR="00BE1A18"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2,7</w:t>
            </w:r>
            <w:r w:rsidR="00BE1A18"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958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0976B8">
        <w:tc>
          <w:tcPr>
            <w:tcW w:w="4069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Доступность и понятность информации о порядке оказания услуги</w:t>
            </w:r>
          </w:p>
        </w:tc>
        <w:tc>
          <w:tcPr>
            <w:tcW w:w="1001" w:type="dxa"/>
            <w:vAlign w:val="center"/>
          </w:tcPr>
          <w:p w:rsidR="000976B8" w:rsidRDefault="00D20CD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633CF3">
              <w:rPr>
                <w:rFonts w:ascii="Times New Roman" w:hAnsi="Times New Roman"/>
                <w:sz w:val="28"/>
              </w:rPr>
              <w:t>492</w:t>
            </w:r>
            <w:r w:rsidR="00BE1A18">
              <w:rPr>
                <w:rFonts w:ascii="Times New Roman" w:hAnsi="Times New Roman"/>
                <w:sz w:val="28"/>
              </w:rPr>
              <w:t xml:space="preserve"> (</w:t>
            </w:r>
            <w:r w:rsidR="00410819">
              <w:rPr>
                <w:rFonts w:ascii="Times New Roman" w:hAnsi="Times New Roman"/>
                <w:sz w:val="28"/>
              </w:rPr>
              <w:t>7</w:t>
            </w:r>
            <w:r w:rsidR="00633CF3">
              <w:rPr>
                <w:rFonts w:ascii="Times New Roman" w:hAnsi="Times New Roman"/>
                <w:sz w:val="28"/>
              </w:rPr>
              <w:t>2</w:t>
            </w:r>
            <w:r w:rsidR="00410819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4</w:t>
            </w:r>
            <w:r w:rsidR="00BE1A18"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1134" w:type="dxa"/>
            <w:vAlign w:val="center"/>
          </w:tcPr>
          <w:p w:rsidR="00D20CDA" w:rsidRDefault="00633CF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785</w:t>
            </w:r>
          </w:p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410819">
              <w:rPr>
                <w:rFonts w:ascii="Times New Roman" w:hAnsi="Times New Roman"/>
                <w:sz w:val="28"/>
              </w:rPr>
              <w:t>2</w:t>
            </w:r>
            <w:r w:rsidR="00633CF3">
              <w:rPr>
                <w:rFonts w:ascii="Times New Roman" w:hAnsi="Times New Roman"/>
                <w:sz w:val="28"/>
              </w:rPr>
              <w:t>2</w:t>
            </w:r>
            <w:r w:rsidR="00410819">
              <w:rPr>
                <w:rFonts w:ascii="Times New Roman" w:hAnsi="Times New Roman"/>
                <w:sz w:val="28"/>
              </w:rPr>
              <w:t>,</w:t>
            </w:r>
            <w:r w:rsidR="00633CF3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2409" w:type="dxa"/>
            <w:vAlign w:val="center"/>
          </w:tcPr>
          <w:p w:rsidR="000976B8" w:rsidRDefault="00D20CD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633CF3">
              <w:rPr>
                <w:rFonts w:ascii="Times New Roman" w:hAnsi="Times New Roman"/>
                <w:sz w:val="28"/>
              </w:rPr>
              <w:t>65</w:t>
            </w:r>
            <w:r w:rsidR="00BE1A18"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4</w:t>
            </w:r>
            <w:r w:rsidR="00410819">
              <w:rPr>
                <w:rFonts w:ascii="Times New Roman" w:hAnsi="Times New Roman"/>
                <w:sz w:val="28"/>
              </w:rPr>
              <w:t>,</w:t>
            </w:r>
            <w:r w:rsidR="00633CF3">
              <w:rPr>
                <w:rFonts w:ascii="Times New Roman" w:hAnsi="Times New Roman"/>
                <w:sz w:val="28"/>
              </w:rPr>
              <w:t>8</w:t>
            </w:r>
            <w:r w:rsidR="00BE1A18"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958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0976B8">
        <w:tc>
          <w:tcPr>
            <w:tcW w:w="4069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Внимательность, вежливость, тактичность персонала</w:t>
            </w:r>
          </w:p>
        </w:tc>
        <w:tc>
          <w:tcPr>
            <w:tcW w:w="1001" w:type="dxa"/>
            <w:vAlign w:val="center"/>
          </w:tcPr>
          <w:p w:rsidR="000976B8" w:rsidRDefault="00D20CD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B413EC">
              <w:rPr>
                <w:rFonts w:ascii="Times New Roman" w:hAnsi="Times New Roman"/>
                <w:sz w:val="28"/>
              </w:rPr>
              <w:t>322</w:t>
            </w:r>
            <w:r w:rsidR="00633CF3">
              <w:rPr>
                <w:rFonts w:ascii="Times New Roman" w:hAnsi="Times New Roman"/>
                <w:sz w:val="28"/>
              </w:rPr>
              <w:t xml:space="preserve"> </w:t>
            </w:r>
            <w:r w:rsidR="00BE1A18">
              <w:rPr>
                <w:rFonts w:ascii="Times New Roman" w:hAnsi="Times New Roman"/>
                <w:sz w:val="28"/>
              </w:rPr>
              <w:t>(</w:t>
            </w:r>
            <w:r w:rsidR="00410819">
              <w:rPr>
                <w:rFonts w:ascii="Times New Roman" w:hAnsi="Times New Roman"/>
                <w:sz w:val="28"/>
              </w:rPr>
              <w:t>9</w:t>
            </w:r>
            <w:r w:rsidR="00633CF3">
              <w:rPr>
                <w:rFonts w:ascii="Times New Roman" w:hAnsi="Times New Roman"/>
                <w:sz w:val="28"/>
              </w:rPr>
              <w:t>6</w:t>
            </w:r>
            <w:r w:rsidR="00410819">
              <w:rPr>
                <w:rFonts w:ascii="Times New Roman" w:hAnsi="Times New Roman"/>
                <w:sz w:val="28"/>
              </w:rPr>
              <w:t>,</w:t>
            </w:r>
            <w:r w:rsidR="00633CF3">
              <w:rPr>
                <w:rFonts w:ascii="Times New Roman" w:hAnsi="Times New Roman"/>
                <w:sz w:val="28"/>
              </w:rPr>
              <w:t>5</w:t>
            </w:r>
            <w:r w:rsidR="00BE1A18"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1134" w:type="dxa"/>
            <w:vAlign w:val="center"/>
          </w:tcPr>
          <w:p w:rsidR="007F7FCC" w:rsidRDefault="00B413E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633CF3">
              <w:rPr>
                <w:rFonts w:ascii="Times New Roman" w:hAnsi="Times New Roman"/>
                <w:sz w:val="28"/>
              </w:rPr>
              <w:t>2</w:t>
            </w:r>
            <w:r w:rsidR="00FA32F4">
              <w:rPr>
                <w:rFonts w:ascii="Times New Roman" w:hAnsi="Times New Roman"/>
                <w:sz w:val="28"/>
              </w:rPr>
              <w:t>,</w:t>
            </w:r>
            <w:r w:rsidR="00633CF3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2409" w:type="dxa"/>
            <w:vAlign w:val="center"/>
          </w:tcPr>
          <w:p w:rsidR="000976B8" w:rsidRDefault="00633CF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  <w:r w:rsidR="00BE1A18">
              <w:rPr>
                <w:rFonts w:ascii="Times New Roman" w:hAnsi="Times New Roman"/>
                <w:sz w:val="28"/>
              </w:rPr>
              <w:t xml:space="preserve"> (</w:t>
            </w:r>
            <w:r w:rsidR="00B413EC">
              <w:rPr>
                <w:rFonts w:ascii="Times New Roman" w:hAnsi="Times New Roman"/>
                <w:sz w:val="28"/>
              </w:rPr>
              <w:t>0</w:t>
            </w:r>
            <w:r w:rsidR="00410819">
              <w:rPr>
                <w:rFonts w:ascii="Times New Roman" w:hAnsi="Times New Roman"/>
                <w:sz w:val="28"/>
              </w:rPr>
              <w:t>,</w:t>
            </w:r>
            <w:r w:rsidR="00B413EC">
              <w:rPr>
                <w:rFonts w:ascii="Times New Roman" w:hAnsi="Times New Roman"/>
                <w:sz w:val="28"/>
              </w:rPr>
              <w:t>7</w:t>
            </w:r>
            <w:r w:rsidR="00BE1A18"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958" w:type="dxa"/>
            <w:vAlign w:val="center"/>
          </w:tcPr>
          <w:p w:rsidR="000976B8" w:rsidRDefault="0041081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0976B8">
        <w:tc>
          <w:tcPr>
            <w:tcW w:w="4069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Компетентность персонала</w:t>
            </w:r>
          </w:p>
        </w:tc>
        <w:tc>
          <w:tcPr>
            <w:tcW w:w="1001" w:type="dxa"/>
            <w:vAlign w:val="center"/>
          </w:tcPr>
          <w:p w:rsidR="000976B8" w:rsidRDefault="00B413E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2836</w:t>
            </w:r>
            <w:r w:rsidR="00BE1A18">
              <w:rPr>
                <w:rFonts w:ascii="Times New Roman" w:hAnsi="Times New Roman"/>
                <w:sz w:val="28"/>
              </w:rPr>
              <w:t xml:space="preserve"> (8</w:t>
            </w:r>
            <w:r>
              <w:rPr>
                <w:rFonts w:ascii="Times New Roman" w:hAnsi="Times New Roman"/>
                <w:sz w:val="28"/>
              </w:rPr>
              <w:t>2</w:t>
            </w:r>
            <w:r w:rsidR="00BE1A18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4</w:t>
            </w:r>
            <w:r w:rsidR="00BE1A18"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1134" w:type="dxa"/>
            <w:vAlign w:val="center"/>
          </w:tcPr>
          <w:p w:rsidR="000976B8" w:rsidRDefault="00B413E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520</w:t>
            </w:r>
            <w:r w:rsidR="00BE1A18"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15,1</w:t>
            </w:r>
            <w:r w:rsidR="00BE1A18"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2409" w:type="dxa"/>
            <w:vAlign w:val="center"/>
          </w:tcPr>
          <w:p w:rsidR="000976B8" w:rsidRDefault="00B413E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</w:t>
            </w:r>
            <w:r w:rsidR="00BE1A18"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2,5</w:t>
            </w:r>
            <w:r w:rsidR="00BE1A18"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958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0976B8">
        <w:tc>
          <w:tcPr>
            <w:tcW w:w="4069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График работы с посетителями</w:t>
            </w:r>
          </w:p>
        </w:tc>
        <w:tc>
          <w:tcPr>
            <w:tcW w:w="1001" w:type="dxa"/>
            <w:vAlign w:val="center"/>
          </w:tcPr>
          <w:p w:rsidR="000976B8" w:rsidRDefault="00B413E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2327 </w:t>
            </w:r>
            <w:r w:rsidR="00BE1A18"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67,6</w:t>
            </w:r>
            <w:r w:rsidR="00BE1A18"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1134" w:type="dxa"/>
            <w:vAlign w:val="center"/>
          </w:tcPr>
          <w:p w:rsidR="000976B8" w:rsidRDefault="00B413E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953</w:t>
            </w:r>
            <w:r w:rsidR="00BE1A18"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27,7</w:t>
            </w:r>
            <w:r w:rsidR="00BE1A18"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2409" w:type="dxa"/>
            <w:vAlign w:val="center"/>
          </w:tcPr>
          <w:p w:rsidR="000976B8" w:rsidRDefault="00B413E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</w:t>
            </w:r>
            <w:r w:rsidR="00BE1A18"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4,7</w:t>
            </w:r>
            <w:r w:rsidR="00BE1A18"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958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0976B8">
        <w:tc>
          <w:tcPr>
            <w:tcW w:w="4069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результата полученной услуги</w:t>
            </w:r>
          </w:p>
        </w:tc>
        <w:tc>
          <w:tcPr>
            <w:tcW w:w="1001" w:type="dxa"/>
            <w:vAlign w:val="center"/>
          </w:tcPr>
          <w:p w:rsidR="00BE1A18" w:rsidRDefault="009858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2764</w:t>
            </w:r>
          </w:p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985866">
              <w:rPr>
                <w:rFonts w:ascii="Times New Roman" w:hAnsi="Times New Roman"/>
                <w:sz w:val="28"/>
              </w:rPr>
              <w:t>80,3</w:t>
            </w:r>
            <w:r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1134" w:type="dxa"/>
            <w:vAlign w:val="center"/>
          </w:tcPr>
          <w:p w:rsidR="00985866" w:rsidRDefault="009858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668</w:t>
            </w:r>
          </w:p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DA1D60">
              <w:rPr>
                <w:rFonts w:ascii="Times New Roman" w:hAnsi="Times New Roman"/>
                <w:sz w:val="28"/>
              </w:rPr>
              <w:t>1</w:t>
            </w:r>
            <w:r w:rsidR="00985866">
              <w:rPr>
                <w:rFonts w:ascii="Times New Roman" w:hAnsi="Times New Roman"/>
                <w:sz w:val="28"/>
              </w:rPr>
              <w:t>9,4</w:t>
            </w:r>
            <w:r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2409" w:type="dxa"/>
            <w:vAlign w:val="center"/>
          </w:tcPr>
          <w:p w:rsidR="000976B8" w:rsidRDefault="009858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BE1A18"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0</w:t>
            </w:r>
            <w:r w:rsidR="00FA32F4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3</w:t>
            </w:r>
            <w:r w:rsidR="00BE1A18"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958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0976B8" w:rsidRDefault="000976B8">
      <w:pPr>
        <w:rPr>
          <w:rFonts w:ascii="Times New Roman" w:hAnsi="Times New Roman"/>
          <w:sz w:val="24"/>
        </w:rPr>
      </w:pPr>
    </w:p>
    <w:p w:rsidR="000976B8" w:rsidRDefault="00BE1A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 </w:t>
      </w:r>
      <w:r>
        <w:rPr>
          <w:rFonts w:ascii="Times New Roman" w:hAnsi="Times New Roman"/>
          <w:b/>
          <w:sz w:val="28"/>
        </w:rPr>
        <w:t xml:space="preserve">Взималась ли дополнительная плата, кроме той, что установлена законодательством: </w:t>
      </w:r>
    </w:p>
    <w:p w:rsidR="000976B8" w:rsidRDefault="00BE1A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- 0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НЕТ – </w:t>
      </w:r>
      <w:r w:rsidR="001F1436">
        <w:rPr>
          <w:rFonts w:ascii="Times New Roman" w:hAnsi="Times New Roman"/>
          <w:sz w:val="28"/>
        </w:rPr>
        <w:t>3442</w:t>
      </w:r>
      <w:r>
        <w:rPr>
          <w:rFonts w:ascii="Times New Roman" w:hAnsi="Times New Roman"/>
          <w:sz w:val="28"/>
        </w:rPr>
        <w:t xml:space="preserve"> чел. (100%)</w:t>
      </w:r>
    </w:p>
    <w:p w:rsidR="000976B8" w:rsidRDefault="000976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56028" w:rsidRPr="00356028" w:rsidRDefault="00BE1A18" w:rsidP="003560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b/>
          <w:sz w:val="28"/>
        </w:rPr>
        <w:t>Ваши предложения по улучшению работы муниципального учреждения г. Чебоксары:</w:t>
      </w:r>
      <w:r w:rsidR="00356028">
        <w:rPr>
          <w:rFonts w:ascii="Times New Roman" w:hAnsi="Times New Roman"/>
          <w:b/>
          <w:sz w:val="28"/>
        </w:rPr>
        <w:t xml:space="preserve"> </w:t>
      </w:r>
      <w:r w:rsidR="00356028" w:rsidRPr="00356028">
        <w:rPr>
          <w:rFonts w:ascii="Times New Roman" w:hAnsi="Times New Roman"/>
          <w:sz w:val="28"/>
        </w:rPr>
        <w:t>кафе нужно очень, сделать дорогу к главной сцене</w:t>
      </w:r>
      <w:r w:rsidR="00356028">
        <w:rPr>
          <w:rFonts w:ascii="Times New Roman" w:hAnsi="Times New Roman"/>
          <w:sz w:val="28"/>
        </w:rPr>
        <w:t xml:space="preserve"> </w:t>
      </w:r>
      <w:r w:rsidR="00356028" w:rsidRPr="00356028">
        <w:rPr>
          <w:rFonts w:ascii="Times New Roman" w:hAnsi="Times New Roman"/>
          <w:sz w:val="28"/>
        </w:rPr>
        <w:t xml:space="preserve">, побольше скамеек, все отлично, все хорошо, кафе, чтобы согреться зимой горячим чаем или кофе, все устраивает, туалетов побольше, дополнительные аттракционы, поменяйте пожалуйста покрытие на детской площадке, побольше скидок для </w:t>
      </w:r>
      <w:proofErr w:type="spellStart"/>
      <w:r w:rsidR="00356028" w:rsidRPr="00356028">
        <w:rPr>
          <w:rFonts w:ascii="Times New Roman" w:hAnsi="Times New Roman"/>
          <w:sz w:val="28"/>
        </w:rPr>
        <w:t>соц.групп</w:t>
      </w:r>
      <w:proofErr w:type="spellEnd"/>
      <w:r w:rsidR="00356028" w:rsidRPr="00356028">
        <w:rPr>
          <w:rFonts w:ascii="Times New Roman" w:hAnsi="Times New Roman"/>
          <w:sz w:val="28"/>
        </w:rPr>
        <w:t xml:space="preserve"> (мать-одиночка), больше операторов на аттракционы, добавить больше не сладких товаров на продажу, добавьте еще один день со скидками, снизьте цены на прокат машинок, на батуты, больше аттракционов. </w:t>
      </w:r>
    </w:p>
    <w:p w:rsidR="00356028" w:rsidRPr="00356028" w:rsidRDefault="00356028" w:rsidP="00356028">
      <w:pPr>
        <w:rPr>
          <w:rFonts w:ascii="Times New Roman" w:hAnsi="Times New Roman"/>
          <w:sz w:val="24"/>
          <w:szCs w:val="24"/>
        </w:rPr>
      </w:pPr>
    </w:p>
    <w:p w:rsidR="00356028" w:rsidRPr="00356028" w:rsidRDefault="00356028" w:rsidP="00356028">
      <w:pPr>
        <w:rPr>
          <w:rFonts w:ascii="Times New Roman" w:hAnsi="Times New Roman"/>
          <w:sz w:val="24"/>
          <w:szCs w:val="24"/>
        </w:rPr>
      </w:pPr>
    </w:p>
    <w:p w:rsidR="00356028" w:rsidRPr="00356028" w:rsidRDefault="00356028" w:rsidP="00356028">
      <w:pPr>
        <w:rPr>
          <w:rFonts w:ascii="Times New Roman" w:hAnsi="Times New Roman"/>
          <w:sz w:val="24"/>
          <w:szCs w:val="24"/>
        </w:rPr>
      </w:pPr>
    </w:p>
    <w:p w:rsidR="00356028" w:rsidRPr="00356028" w:rsidRDefault="00356028" w:rsidP="00356028">
      <w:pPr>
        <w:rPr>
          <w:rFonts w:ascii="Times New Roman" w:hAnsi="Times New Roman"/>
          <w:sz w:val="24"/>
          <w:szCs w:val="24"/>
        </w:rPr>
      </w:pPr>
    </w:p>
    <w:p w:rsidR="00356028" w:rsidRPr="00356028" w:rsidRDefault="00356028" w:rsidP="00356028">
      <w:pPr>
        <w:rPr>
          <w:rFonts w:ascii="Times New Roman" w:hAnsi="Times New Roman"/>
          <w:sz w:val="24"/>
          <w:szCs w:val="24"/>
        </w:rPr>
      </w:pPr>
    </w:p>
    <w:p w:rsidR="00356028" w:rsidRPr="00356028" w:rsidRDefault="00356028" w:rsidP="00356028">
      <w:pPr>
        <w:rPr>
          <w:rFonts w:ascii="Times New Roman" w:hAnsi="Times New Roman"/>
          <w:sz w:val="24"/>
          <w:szCs w:val="24"/>
        </w:rPr>
      </w:pPr>
    </w:p>
    <w:p w:rsidR="000976B8" w:rsidRDefault="000976B8" w:rsidP="0035602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0976B8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B8"/>
    <w:rsid w:val="000353E6"/>
    <w:rsid w:val="000976B8"/>
    <w:rsid w:val="001143A6"/>
    <w:rsid w:val="001F1436"/>
    <w:rsid w:val="00356028"/>
    <w:rsid w:val="00410819"/>
    <w:rsid w:val="00426C5F"/>
    <w:rsid w:val="00633CF3"/>
    <w:rsid w:val="0068756D"/>
    <w:rsid w:val="007F7FCC"/>
    <w:rsid w:val="00985866"/>
    <w:rsid w:val="0098781A"/>
    <w:rsid w:val="00A14E40"/>
    <w:rsid w:val="00B015E0"/>
    <w:rsid w:val="00B413EC"/>
    <w:rsid w:val="00BE1A18"/>
    <w:rsid w:val="00D20CDA"/>
    <w:rsid w:val="00DA1D60"/>
    <w:rsid w:val="00FA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6E6E3-EE7C-A346-9092-A1671DDD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Ипатьева Эльза</dc:creator>
  <cp:lastModifiedBy>gcheb_kult2</cp:lastModifiedBy>
  <cp:revision>2</cp:revision>
  <dcterms:created xsi:type="dcterms:W3CDTF">2024-06-03T08:24:00Z</dcterms:created>
  <dcterms:modified xsi:type="dcterms:W3CDTF">2024-06-03T08:24:00Z</dcterms:modified>
</cp:coreProperties>
</file>