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7"/>
        <w:ind w:firstLine="709"/>
        <w:jc w:val="center"/>
        <w:spacing w:before="0" w:line="240" w:lineRule="auto"/>
        <w:rPr>
          <w:rFonts w:ascii="Times New Roman" w:hAnsi="Times New Roman" w:cs="Times New Roman" w:eastAsiaTheme="minorHAnsi"/>
          <w:color w:val="auto"/>
          <w:sz w:val="24"/>
          <w:szCs w:val="24"/>
        </w:rPr>
      </w:pPr>
      <w:r>
        <w:rPr>
          <w:rFonts w:ascii="Times New Roman" w:hAnsi="Times New Roman" w:cs="Times New Roman" w:eastAsiaTheme="minorHAnsi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 w:eastAsiaTheme="minorHAnsi"/>
          <w:color w:val="auto"/>
          <w:sz w:val="24"/>
          <w:szCs w:val="24"/>
        </w:rPr>
      </w:r>
      <w:r>
        <w:rPr>
          <w:rFonts w:ascii="Times New Roman" w:hAnsi="Times New Roman" w:cs="Times New Roman" w:eastAsiaTheme="minorHAnsi"/>
          <w:color w:val="auto"/>
          <w:sz w:val="24"/>
          <w:szCs w:val="24"/>
        </w:rPr>
      </w:r>
    </w:p>
    <w:p>
      <w:pPr>
        <w:pStyle w:val="847"/>
        <w:ind w:firstLine="709"/>
        <w:jc w:val="center"/>
        <w:spacing w:before="0" w:line="240" w:lineRule="auto"/>
        <w:rPr>
          <w:rFonts w:ascii="Times New Roman" w:hAnsi="Times New Roman" w:cs="Times New Roman" w:eastAsiaTheme="minorHAnsi"/>
          <w:color w:val="auto"/>
          <w:sz w:val="24"/>
          <w:szCs w:val="24"/>
          <w:highlight w:val="none"/>
        </w:rPr>
      </w:pPr>
      <w:r>
        <w:rPr>
          <w:rFonts w:ascii="Times New Roman" w:hAnsi="Times New Roman" w:cs="Times New Roman" w:eastAsiaTheme="minorHAnsi"/>
          <w:color w:val="auto"/>
          <w:sz w:val="24"/>
          <w:szCs w:val="24"/>
        </w:rPr>
        <w:t xml:space="preserve">П</w:t>
      </w:r>
      <w:r>
        <w:rPr>
          <w:rFonts w:ascii="Times New Roman" w:hAnsi="Times New Roman" w:cs="Times New Roman" w:eastAsiaTheme="minorHAnsi"/>
          <w:color w:val="auto"/>
          <w:sz w:val="24"/>
          <w:szCs w:val="24"/>
        </w:rPr>
        <w:t xml:space="preserve">лан</w:t>
      </w:r>
      <w:r>
        <w:rPr>
          <w:rFonts w:ascii="Times New Roman" w:hAnsi="Times New Roman" w:cs="Times New Roman" w:eastAsiaTheme="minorHAnsi"/>
          <w:color w:val="auto"/>
          <w:sz w:val="24"/>
          <w:szCs w:val="24"/>
        </w:rPr>
        <w:t xml:space="preserve"> мероприятий («дорожная карта»)</w:t>
      </w:r>
      <w:r>
        <w:rPr>
          <w:rFonts w:ascii="Times New Roman" w:hAnsi="Times New Roman" w:cs="Times New Roman" w:eastAsiaTheme="minorHAnsi"/>
          <w:color w:val="auto"/>
          <w:sz w:val="24"/>
          <w:szCs w:val="24"/>
          <w:highlight w:val="none"/>
        </w:rPr>
      </w:r>
      <w:r>
        <w:rPr>
          <w:rFonts w:ascii="Times New Roman" w:hAnsi="Times New Roman" w:cs="Times New Roman" w:eastAsiaTheme="minorHAnsi"/>
          <w:color w:val="auto"/>
          <w:sz w:val="24"/>
          <w:szCs w:val="24"/>
          <w:highlight w:val="none"/>
        </w:rPr>
      </w:r>
    </w:p>
    <w:p>
      <w:pPr>
        <w:pStyle w:val="852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по проведению государственной 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кадастровой оценки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одновременно всех учтенных в Едином государственном реестре недвижимости </w:t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</w:p>
    <w:p>
      <w:pPr>
        <w:pStyle w:val="852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на территории Чувашской Республики земельных участков, за исключением случаев, предусмотренных частью 3 статьи 11 </w:t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</w:p>
    <w:p>
      <w:pPr>
        <w:pStyle w:val="852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Федерального закона «О государственной кадастровой оценке», </w:t>
      </w: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  <w:t xml:space="preserve">в 2026 году</w:t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</w:p>
    <w:p>
      <w:pPr>
        <w:pStyle w:val="852"/>
        <w:jc w:val="center"/>
        <w:rPr>
          <w:rFonts w:ascii="Times New Roman" w:hAnsi="Times New Roman" w:cs="Times New Roman" w:eastAsiaTheme="minorHAnsi"/>
          <w:b/>
          <w:bCs/>
          <w:sz w:val="24"/>
          <w:szCs w:val="24"/>
        </w:rPr>
      </w:pPr>
      <w:r>
        <w:rPr>
          <w:rFonts w:ascii="Times New Roman" w:hAnsi="Times New Roman" w:cs="Times New Roman" w:eastAsiaTheme="minorHAnsi"/>
          <w:b/>
          <w:bCs/>
          <w:sz w:val="24"/>
          <w:szCs w:val="24"/>
          <w:lang w:eastAsia="en-US"/>
        </w:rPr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  <w:r>
        <w:rPr>
          <w:rFonts w:ascii="Times New Roman" w:hAnsi="Times New Roman" w:cs="Times New Roman" w:eastAsiaTheme="minorHAnsi"/>
          <w:b/>
          <w:bCs/>
          <w:sz w:val="24"/>
          <w:szCs w:val="24"/>
        </w:rPr>
      </w:r>
    </w:p>
    <w:tbl>
      <w:tblPr>
        <w:tblStyle w:val="862"/>
        <w:tblW w:w="16128" w:type="dxa"/>
        <w:tblLayout w:type="fixed"/>
        <w:tblLook w:val="04A0" w:firstRow="1" w:lastRow="0" w:firstColumn="1" w:lastColumn="0" w:noHBand="0" w:noVBand="1"/>
      </w:tblPr>
      <w:tblGrid>
        <w:gridCol w:w="817"/>
        <w:gridCol w:w="8364"/>
        <w:gridCol w:w="2976"/>
        <w:gridCol w:w="3971"/>
      </w:tblGrid>
      <w:tr>
        <w:tblPrEx/>
        <w:trPr>
          <w:tblHeader/>
        </w:trPr>
        <w:tc>
          <w:tcPr>
            <w:tcW w:w="817" w:type="dxa"/>
            <w:textDirection w:val="lrTb"/>
            <w:noWrap w:val="false"/>
          </w:tcPr>
          <w:p>
            <w:pPr>
              <w:pStyle w:val="852"/>
              <w:ind w:left="-57" w:right="-57" w:firstLine="1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52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8364" w:type="dxa"/>
            <w:vAlign w:val="center"/>
            <w:textDirection w:val="lrTb"/>
            <w:noWrap w:val="false"/>
          </w:tcPr>
          <w:p>
            <w:pPr>
              <w:pStyle w:val="852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976" w:type="dxa"/>
            <w:vAlign w:val="center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Ориентировочный срок выполнения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971" w:type="dxa"/>
            <w:vAlign w:val="center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исполнитель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ind w:left="-57" w:right="-57" w:firstLine="1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3"/>
            <w:tcW w:w="15311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Проведение государственной кадастровой оценки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5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Формирование перечня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объектов недвижимости, подлежащих государственной кадастровой оценке (далее - Перечень), в формате, установленном федеральным органом, осуществляющим функции по нормативно-правовому регулированию в сфере государственной кадастровой оценки, и представление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еречня в Минэкономразвития Чувашии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рабочих дней с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января года проведения государственной кадастровой оценки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48"/>
              <w:spacing w:before="0"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Филиал ППК «Роскадастр» по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Чувашской Республике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–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Чувашии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Направление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еречня в БУ «Чуваштехинвентаризация»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Минэкономразвития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Чувашии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(далее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также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бюджетное учреждение)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течение 3 рабочих дней со дня поступления перечня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Минэкономразвития Чувашии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запросов в органы и организации с целью получения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недостающей информации об объектах недвижимости, необходимой для определения кадастровой стоимости.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Сбор, обработка, систематизация информации об объектах недвижимости, в том числе деклараций о характеристиках объектов недвижимости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 марта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Направление Перечня в органы местного самоуправления и согласование видов использования объектов недвижимости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Чувашской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Сбор и обработка сведений о значениях ценообразующих факторов в семантическом и графическом виде (актуализация сведений по состоянию на 01.01.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апреля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Чувашии, Органы местного самоуправления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Направление обобщенного Перечня в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Минэкономразвития Чувашии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и согласование видов использования объектов недвижимости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Завершение обработки Перечня для целей определения кадастровой стоимости, осуществляемой бюджетным учреждением в соответствии с </w:t>
            </w:r>
            <w:hyperlink r:id="rId10" w:tooltip="consultantplus://offline/ref=5CFEC04D8510B7F5AEF18D595994929C5EDE399FB9F316908C910DC62CCDCA35A30475FBF2CF5A7873lAQ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  <w:lang w:eastAsia="ru-RU"/>
                </w:rPr>
                <w:t xml:space="preserve">методическими указаниями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о государственной кадастровой оценке, и направление результатов обработки Перечня в Минэкономразвития Чувашии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апреля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vMerge w:val="restart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Размещение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 сайте в информационно-телекоммуникационной сети «Интернет»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результатов обработки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еречня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представленных бюджетным учреждением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апреля 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 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  <w:tc>
          <w:tcPr>
            <w:tcW w:w="3971" w:type="dxa"/>
            <w:vMerge w:val="restart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Минэкономразвития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Чувашии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кадастровой стоимости и составление проекта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предварительных результатах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кадастровой оценки (далее – проект отчета)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электронном носителе в форме электронного документа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а также подготовка сравнительного анализа предварительных результатов оценки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предыдущ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кадастровой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разъяснений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предварительных результатов государственной кадастровой оценки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сравнительного анализа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предварительных результатов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разъяснений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администрации муниципальных районов и округов, городских округов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июля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Обсуждение предварительных результатов государственной кадастровой оценки 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дновременно в отношении всех учтенных в Едином государственном реестре недвижимости на территории Чувашской Республики земельных участков, за исключением случаев, предусмотренных частью 3 статьи 11 Федерального закона «О государственной кадастровой оценке»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августа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БУ «Чуваштехинвентаризация» Минэкономразвития Чувашии,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Исполнительные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Росреестра по Чувашской Республике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48"/>
              <w:spacing w:before="0"/>
              <w:shd w:val="clear" w:color="auto" w:fill="ffffff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</w:rPr>
              <w:t xml:space="preserve">Филиал ППК «Роскадастр» по Чувашской Республике-Чувашии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проекта отчета на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учреждения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в информационно-телекоммуникационной сети «Интернет» и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аправление в орган регистрации прав проекта отчета и сведений о месте его размещении для проверки на соответствие требованиям к отчету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3 рабочих дней со дня составления проекта  отчета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выявленных органом регистрации прав несоответствия требованиям к отчету и предоставление исправленного проекта отчета для повторной проверки и размещение его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бюджетного учреждения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7 рабочих дней со дня получения уведомления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 размещении проекта отчета, месте его размещения, о порядке и сроках предоставления замечаний к проекту отчета, а также об объектах недвижимости, в отношении которых проводится государственная кадастровая оценка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рабочих дней со дня получения уведомления о соответствии проекта отчета требованиям к отчету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Минцифры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МФЦ,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органы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замечаний к проекту отчета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срока размещения проекта отчета в фонде данных государственной кадастровой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 замечаний и пересчет кадастровой стоимости объекта недвижимости, указанного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замечании, если выявлена необходимость такого пересчета, проверка применения такого замечания к иным объектам недвижимости,  в том числе соседним, смежным, однотипным в отношении которых может быть проведен аналогичный пересчет кадастровой стоимости.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обновленной версии проекта отчета, содержащ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требуемые изменения, а также справку с информацией об учтенных и неучтенных замечаниях к проекту отчета с обоснованием отказа в их учете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срока размещения проекта отчета в фонде данных государственной кадастровой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сайте бюджетного учреждения в информационно-телекоммуникационной сети «Интернет» обновленной версии проекта отчета для представления замечаний к нему и справки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срока размещения текущей версии проекта отчета в фонде данных государственной кадастровой оценки и 5 дней после завершения срока такого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Передача в орган регистрации прав сведений о месте размещения обновленной версии проекта отчета, а также содержащихся в нем сведений и материалов в объеме, предусмотренном порядком ведения формы данных государственной кадастровой оценки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1 календарного дня со дня размещения обновленной версии проекта отчета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проект отчета (при наличии несоответствий требованиям к отчету и методическим указаниям)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срока размещения проекта отчета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в  орган регистрации прав и Минэкономразвития 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увашии на электронном носителе в форме электронного документа отчета и справки, содержащей информацию обо всех неучтенных замечаниях к текущей версии проекта отчета  с обоснованием отказа в их учете или отсутствии замечаний к текущей версии проекта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5 дней после завершения срока размещения текущей версии проекта отчета в фонде данных государственной кадастровой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pStyle w:val="85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Правительственной комиссии по проведению государственной кадастровой оценки объектов недвижимости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включая земельные участки, результатов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кадастровой оценки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«Чуваштехинвентаризация» 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ind w:left="-57" w:right="-57" w:firstLine="1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gridSpan w:val="3"/>
            <w:tcW w:w="15311" w:type="dxa"/>
            <w:textDirection w:val="lrTb"/>
            <w:noWrap w:val="false"/>
          </w:tcPr>
          <w:p>
            <w:pPr>
              <w:pStyle w:val="852"/>
              <w:ind w:left="-57" w:right="-57" w:firstLine="1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52"/>
              <w:ind w:left="-57" w:right="-57" w:firstLine="1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Утверждение результатов определения кадастровой стоимости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  <w:p>
            <w:pPr>
              <w:pStyle w:val="852"/>
              <w:ind w:left="-57" w:right="-57" w:firstLine="1"/>
              <w:jc w:val="center"/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содержащихся в отчете результатов определения кадастровой стоимости путем принятия соответствующего акта об утверждении результатов определения кадастровой стоимости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двадцати рабочих дней со дня получения отчета, но не позднее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ноября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Официальное опубликование и  информирование о его принятии, а также о порядке рассмотрения заявлений об исправлении ошибок, допущенных при определении кадастровой стоимости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тридцати рабочих дней со дня принятия акта об утверждении результатов определения кадастровой стоимости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17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8364" w:type="dxa"/>
            <w:textDirection w:val="lrTb"/>
            <w:noWrap w:val="false"/>
          </w:tcPr>
          <w:p>
            <w:pPr>
              <w:pStyle w:val="848"/>
              <w:spacing w:before="0"/>
              <w:shd w:val="clear" w:color="auto" w:fill="ffffff"/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</w:rPr>
              <w:t xml:space="preserve">Направление копии акта и сведений о датах его официального опубликования и вступления в силу в орган регистрации прав и </w:t>
            </w:r>
            <w:r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</w:rPr>
              <w:t xml:space="preserve">Филиал ППК «Роскадастр» по Чувашской Республике-Чувашии</w:t>
            </w:r>
            <w:r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HAnsi"/>
                <w:color w:val="auto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pStyle w:val="8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трех рабочих дней со дня вступления в силу акта об утверждении результатов определения кадастровой стоимости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971" w:type="dxa"/>
            <w:textDirection w:val="lrTb"/>
            <w:noWrap w:val="false"/>
          </w:tcPr>
          <w:p>
            <w:pPr>
              <w:pStyle w:val="8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Минэкономразвития Чувашии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pStyle w:val="8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erReference w:type="default" r:id="rId8"/>
      <w:footnotePr/>
      <w:endnotePr/>
      <w:type w:val="nextPage"/>
      <w:pgSz w:w="16838" w:h="11905" w:orient="landscape"/>
      <w:pgMar w:top="851" w:right="567" w:bottom="851" w:left="567" w:header="0" w:footer="39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580789249"/>
      <w:docPartObj>
        <w:docPartGallery w:val="Page Numbers (Bottom of Page)"/>
        <w:docPartUnique w:val="true"/>
      </w:docPartObj>
      <w:rPr/>
    </w:sdtPr>
    <w:sdtContent>
      <w:p>
        <w:pPr>
          <w:pStyle w:val="8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5</w:t>
        </w:r>
        <w:r>
          <w:fldChar w:fldCharType="end"/>
        </w:r>
        <w:r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849"/>
    <w:link w:val="847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849"/>
    <w:link w:val="848"/>
    <w:uiPriority w:val="9"/>
    <w:rPr>
      <w:rFonts w:ascii="Arial" w:hAnsi="Arial" w:eastAsia="Arial" w:cs="Arial"/>
      <w:sz w:val="34"/>
    </w:rPr>
  </w:style>
  <w:style w:type="paragraph" w:styleId="676">
    <w:name w:val="Heading 3"/>
    <w:basedOn w:val="846"/>
    <w:next w:val="846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>
    <w:name w:val="Heading 3 Char"/>
    <w:basedOn w:val="849"/>
    <w:link w:val="676"/>
    <w:uiPriority w:val="9"/>
    <w:rPr>
      <w:rFonts w:ascii="Arial" w:hAnsi="Arial" w:eastAsia="Arial" w:cs="Arial"/>
      <w:sz w:val="30"/>
      <w:szCs w:val="30"/>
    </w:rPr>
  </w:style>
  <w:style w:type="paragraph" w:styleId="678">
    <w:name w:val="Heading 4"/>
    <w:basedOn w:val="846"/>
    <w:next w:val="846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>
    <w:name w:val="Heading 4 Char"/>
    <w:basedOn w:val="849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46"/>
    <w:next w:val="846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basedOn w:val="849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46"/>
    <w:next w:val="846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basedOn w:val="849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46"/>
    <w:next w:val="846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basedOn w:val="849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46"/>
    <w:next w:val="846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basedOn w:val="849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46"/>
    <w:next w:val="846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basedOn w:val="84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List Paragraph"/>
    <w:basedOn w:val="846"/>
    <w:uiPriority w:val="34"/>
    <w:qFormat/>
    <w:pPr>
      <w:contextualSpacing/>
      <w:ind w:left="720"/>
    </w:pPr>
  </w:style>
  <w:style w:type="paragraph" w:styleId="691">
    <w:name w:val="No Spacing"/>
    <w:uiPriority w:val="1"/>
    <w:qFormat/>
    <w:pPr>
      <w:spacing w:before="0" w:after="0" w:line="240" w:lineRule="auto"/>
    </w:pPr>
  </w:style>
  <w:style w:type="paragraph" w:styleId="692">
    <w:name w:val="Title"/>
    <w:basedOn w:val="846"/>
    <w:next w:val="846"/>
    <w:link w:val="69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3">
    <w:name w:val="Title Char"/>
    <w:basedOn w:val="849"/>
    <w:link w:val="692"/>
    <w:uiPriority w:val="10"/>
    <w:rPr>
      <w:sz w:val="48"/>
      <w:szCs w:val="48"/>
    </w:rPr>
  </w:style>
  <w:style w:type="paragraph" w:styleId="694">
    <w:name w:val="Subtitle"/>
    <w:basedOn w:val="846"/>
    <w:next w:val="846"/>
    <w:link w:val="695"/>
    <w:uiPriority w:val="11"/>
    <w:qFormat/>
    <w:pPr>
      <w:spacing w:before="200" w:after="200"/>
    </w:pPr>
    <w:rPr>
      <w:sz w:val="24"/>
      <w:szCs w:val="24"/>
    </w:rPr>
  </w:style>
  <w:style w:type="character" w:styleId="695">
    <w:name w:val="Subtitle Char"/>
    <w:basedOn w:val="849"/>
    <w:link w:val="694"/>
    <w:uiPriority w:val="11"/>
    <w:rPr>
      <w:sz w:val="24"/>
      <w:szCs w:val="24"/>
    </w:rPr>
  </w:style>
  <w:style w:type="paragraph" w:styleId="696">
    <w:name w:val="Quote"/>
    <w:basedOn w:val="846"/>
    <w:next w:val="846"/>
    <w:link w:val="697"/>
    <w:uiPriority w:val="29"/>
    <w:qFormat/>
    <w:pPr>
      <w:ind w:left="720" w:right="720"/>
    </w:pPr>
    <w:rPr>
      <w:i/>
    </w:rPr>
  </w:style>
  <w:style w:type="character" w:styleId="697">
    <w:name w:val="Quote Char"/>
    <w:link w:val="696"/>
    <w:uiPriority w:val="29"/>
    <w:rPr>
      <w:i/>
    </w:rPr>
  </w:style>
  <w:style w:type="paragraph" w:styleId="698">
    <w:name w:val="Intense Quote"/>
    <w:basedOn w:val="846"/>
    <w:next w:val="846"/>
    <w:link w:val="69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9">
    <w:name w:val="Intense Quote Char"/>
    <w:link w:val="698"/>
    <w:uiPriority w:val="30"/>
    <w:rPr>
      <w:i/>
    </w:rPr>
  </w:style>
  <w:style w:type="character" w:styleId="700">
    <w:name w:val="Header Char"/>
    <w:basedOn w:val="849"/>
    <w:link w:val="858"/>
    <w:uiPriority w:val="99"/>
  </w:style>
  <w:style w:type="character" w:styleId="701">
    <w:name w:val="Footer Char"/>
    <w:basedOn w:val="849"/>
    <w:link w:val="860"/>
    <w:uiPriority w:val="99"/>
  </w:style>
  <w:style w:type="paragraph" w:styleId="702">
    <w:name w:val="Caption"/>
    <w:basedOn w:val="846"/>
    <w:next w:val="8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3">
    <w:name w:val="Caption Char"/>
    <w:basedOn w:val="702"/>
    <w:link w:val="860"/>
    <w:uiPriority w:val="99"/>
  </w:style>
  <w:style w:type="table" w:styleId="704">
    <w:name w:val="Table Grid Light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5">
    <w:name w:val="Plain Table 1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6">
    <w:name w:val="Plain Table 2"/>
    <w:basedOn w:val="85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>
    <w:name w:val="Plain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8">
    <w:name w:val="Plain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Plain Table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0">
    <w:name w:val="Grid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2">
    <w:name w:val="Grid Table 4 - Accent 1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3">
    <w:name w:val="Grid Table 4 - Accent 2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4">
    <w:name w:val="Grid Table 4 - Accent 3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5">
    <w:name w:val="Grid Table 4 - Accent 4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6">
    <w:name w:val="Grid Table 4 - Accent 5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7">
    <w:name w:val="Grid Table 4 - Accent 6"/>
    <w:basedOn w:val="85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8">
    <w:name w:val="Grid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2">
    <w:name w:val="Grid Table 5 Dark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3">
    <w:name w:val="Grid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4">
    <w:name w:val="Grid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5">
    <w:name w:val="Grid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6">
    <w:name w:val="Grid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7">
    <w:name w:val="Grid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8">
    <w:name w:val="Grid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9">
    <w:name w:val="Grid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0">
    <w:name w:val="Grid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1">
    <w:name w:val="Grid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2">
    <w:name w:val="Grid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7">
    <w:name w:val="List Table 2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8">
    <w:name w:val="List Table 2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9">
    <w:name w:val="List Table 2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0">
    <w:name w:val="List Table 2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1">
    <w:name w:val="List Table 2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2">
    <w:name w:val="List Table 2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3">
    <w:name w:val="List Table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3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5 Dark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5 Dark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2">
    <w:name w:val="List Table 5 Dark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6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5">
    <w:name w:val="List Table 6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6">
    <w:name w:val="List Table 6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7">
    <w:name w:val="List Table 6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8">
    <w:name w:val="List Table 6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9">
    <w:name w:val="List Table 6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0">
    <w:name w:val="List Table 6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1">
    <w:name w:val="List Table 7 Colorful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2">
    <w:name w:val="List Table 7 Colorful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3">
    <w:name w:val="List Table 7 Colorful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4">
    <w:name w:val="List Table 7 Colorful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5">
    <w:name w:val="List Table 7 Colorful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6">
    <w:name w:val="List Table 7 Colorful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7">
    <w:name w:val="List Table 7 Colorful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8">
    <w:name w:val="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 &amp; Lined - Accent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6">
    <w:name w:val="Bordered &amp; Lined - Accent 1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7">
    <w:name w:val="Bordered &amp; Lined - Accent 2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8">
    <w:name w:val="Bordered &amp; Lined - Accent 3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9">
    <w:name w:val="Bordered &amp; Lined - Accent 4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0">
    <w:name w:val="Bordered &amp; Lined - Accent 5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1">
    <w:name w:val="Bordered &amp; Lined - Accent 6"/>
    <w:basedOn w:val="85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2">
    <w:name w:val="Bordered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3">
    <w:name w:val="Bordered - Accent 1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4">
    <w:name w:val="Bordered - Accent 2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5">
    <w:name w:val="Bordered - Accent 3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6">
    <w:name w:val="Bordered - Accent 4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7">
    <w:name w:val="Bordered - Accent 5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8">
    <w:name w:val="Bordered - Accent 6"/>
    <w:basedOn w:val="85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9">
    <w:name w:val="footnote text"/>
    <w:basedOn w:val="846"/>
    <w:link w:val="830"/>
    <w:uiPriority w:val="99"/>
    <w:semiHidden/>
    <w:unhideWhenUsed/>
    <w:pPr>
      <w:spacing w:after="40" w:line="240" w:lineRule="auto"/>
    </w:pPr>
    <w:rPr>
      <w:sz w:val="18"/>
    </w:rPr>
  </w:style>
  <w:style w:type="character" w:styleId="830">
    <w:name w:val="Footnote Text Char"/>
    <w:link w:val="829"/>
    <w:uiPriority w:val="99"/>
    <w:rPr>
      <w:sz w:val="18"/>
    </w:rPr>
  </w:style>
  <w:style w:type="character" w:styleId="831">
    <w:name w:val="footnote reference"/>
    <w:basedOn w:val="849"/>
    <w:uiPriority w:val="99"/>
    <w:unhideWhenUsed/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spacing w:after="0" w:line="240" w:lineRule="auto"/>
    </w:pPr>
    <w:rPr>
      <w:sz w:val="20"/>
    </w:rPr>
  </w:style>
  <w:style w:type="character" w:styleId="833">
    <w:name w:val="Endnote Text Char"/>
    <w:link w:val="832"/>
    <w:uiPriority w:val="99"/>
    <w:rPr>
      <w:sz w:val="20"/>
    </w:rPr>
  </w:style>
  <w:style w:type="character" w:styleId="834">
    <w:name w:val="endnote reference"/>
    <w:basedOn w:val="849"/>
    <w:uiPriority w:val="99"/>
    <w:semiHidden/>
    <w:unhideWhenUsed/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ind w:left="0" w:right="0" w:firstLine="0"/>
      <w:spacing w:after="57"/>
    </w:pPr>
  </w:style>
  <w:style w:type="paragraph" w:styleId="836">
    <w:name w:val="toc 2"/>
    <w:basedOn w:val="846"/>
    <w:next w:val="846"/>
    <w:uiPriority w:val="39"/>
    <w:unhideWhenUsed/>
    <w:pPr>
      <w:ind w:left="283" w:right="0" w:firstLine="0"/>
      <w:spacing w:after="57"/>
    </w:pPr>
  </w:style>
  <w:style w:type="paragraph" w:styleId="837">
    <w:name w:val="toc 3"/>
    <w:basedOn w:val="846"/>
    <w:next w:val="846"/>
    <w:uiPriority w:val="39"/>
    <w:unhideWhenUsed/>
    <w:pPr>
      <w:ind w:left="567" w:right="0" w:firstLine="0"/>
      <w:spacing w:after="57"/>
    </w:pPr>
  </w:style>
  <w:style w:type="paragraph" w:styleId="838">
    <w:name w:val="toc 4"/>
    <w:basedOn w:val="846"/>
    <w:next w:val="846"/>
    <w:uiPriority w:val="39"/>
    <w:unhideWhenUsed/>
    <w:pPr>
      <w:ind w:left="850" w:right="0" w:firstLine="0"/>
      <w:spacing w:after="57"/>
    </w:pPr>
  </w:style>
  <w:style w:type="paragraph" w:styleId="839">
    <w:name w:val="toc 5"/>
    <w:basedOn w:val="846"/>
    <w:next w:val="846"/>
    <w:uiPriority w:val="39"/>
    <w:unhideWhenUsed/>
    <w:pPr>
      <w:ind w:left="1134" w:right="0" w:firstLine="0"/>
      <w:spacing w:after="57"/>
    </w:pPr>
  </w:style>
  <w:style w:type="paragraph" w:styleId="840">
    <w:name w:val="toc 6"/>
    <w:basedOn w:val="846"/>
    <w:next w:val="846"/>
    <w:uiPriority w:val="39"/>
    <w:unhideWhenUsed/>
    <w:pPr>
      <w:ind w:left="1417" w:right="0" w:firstLine="0"/>
      <w:spacing w:after="57"/>
    </w:pPr>
  </w:style>
  <w:style w:type="paragraph" w:styleId="841">
    <w:name w:val="toc 7"/>
    <w:basedOn w:val="846"/>
    <w:next w:val="846"/>
    <w:uiPriority w:val="39"/>
    <w:unhideWhenUsed/>
    <w:pPr>
      <w:ind w:left="1701" w:right="0" w:firstLine="0"/>
      <w:spacing w:after="57"/>
    </w:pPr>
  </w:style>
  <w:style w:type="paragraph" w:styleId="842">
    <w:name w:val="toc 8"/>
    <w:basedOn w:val="846"/>
    <w:next w:val="846"/>
    <w:uiPriority w:val="39"/>
    <w:unhideWhenUsed/>
    <w:pPr>
      <w:ind w:left="1984" w:right="0" w:firstLine="0"/>
      <w:spacing w:after="57"/>
    </w:pPr>
  </w:style>
  <w:style w:type="paragraph" w:styleId="843">
    <w:name w:val="toc 9"/>
    <w:basedOn w:val="846"/>
    <w:next w:val="846"/>
    <w:uiPriority w:val="39"/>
    <w:unhideWhenUsed/>
    <w:pPr>
      <w:ind w:left="2268" w:right="0" w:firstLine="0"/>
      <w:spacing w:after="57"/>
    </w:pPr>
  </w:style>
  <w:style w:type="paragraph" w:styleId="844">
    <w:name w:val="TOC Heading"/>
    <w:uiPriority w:val="39"/>
    <w:unhideWhenUsed/>
  </w:style>
  <w:style w:type="paragraph" w:styleId="845">
    <w:name w:val="table of figures"/>
    <w:basedOn w:val="846"/>
    <w:next w:val="846"/>
    <w:uiPriority w:val="99"/>
    <w:unhideWhenUsed/>
    <w:pPr>
      <w:spacing w:after="0" w:afterAutospacing="0"/>
    </w:pPr>
  </w:style>
  <w:style w:type="paragraph" w:styleId="846" w:default="1">
    <w:name w:val="Normal"/>
    <w:qFormat/>
  </w:style>
  <w:style w:type="paragraph" w:styleId="847">
    <w:name w:val="Heading 1"/>
    <w:basedOn w:val="846"/>
    <w:next w:val="846"/>
    <w:link w:val="869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48">
    <w:name w:val="Heading 2"/>
    <w:basedOn w:val="846"/>
    <w:next w:val="846"/>
    <w:link w:val="870"/>
    <w:uiPriority w:val="9"/>
    <w:unhideWhenUsed/>
    <w:qFormat/>
    <w:pPr>
      <w:keepLines/>
      <w:keepNext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character" w:styleId="849" w:default="1">
    <w:name w:val="Default Paragraph Font"/>
    <w:uiPriority w:val="1"/>
    <w:semiHidden/>
    <w:unhideWhenUsed/>
  </w:style>
  <w:style w:type="table" w:styleId="85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1" w:default="1">
    <w:name w:val="No List"/>
    <w:uiPriority w:val="99"/>
    <w:semiHidden/>
    <w:unhideWhenUsed/>
  </w:style>
  <w:style w:type="paragraph" w:styleId="852" w:customStyle="1">
    <w:name w:val="ConsPlusNormal"/>
    <w:uiPriority w:val="99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5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54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paragraph" w:styleId="855">
    <w:name w:val="Balloon Text"/>
    <w:basedOn w:val="846"/>
    <w:link w:val="85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6" w:customStyle="1">
    <w:name w:val="Текст выноски Знак"/>
    <w:basedOn w:val="849"/>
    <w:link w:val="855"/>
    <w:uiPriority w:val="99"/>
    <w:semiHidden/>
    <w:rPr>
      <w:rFonts w:ascii="Tahoma" w:hAnsi="Tahoma" w:cs="Tahoma"/>
      <w:sz w:val="16"/>
      <w:szCs w:val="16"/>
    </w:rPr>
  </w:style>
  <w:style w:type="character" w:styleId="857">
    <w:name w:val="Hyperlink"/>
    <w:basedOn w:val="849"/>
    <w:uiPriority w:val="99"/>
    <w:semiHidden/>
    <w:unhideWhenUsed/>
    <w:rPr>
      <w:strike w:val="0"/>
      <w:color w:val="3272c0"/>
      <w:u w:val="none"/>
      <w:shd w:val="clear" w:color="auto" w:fill="auto"/>
    </w:rPr>
  </w:style>
  <w:style w:type="paragraph" w:styleId="858">
    <w:name w:val="Header"/>
    <w:basedOn w:val="846"/>
    <w:link w:val="85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9" w:customStyle="1">
    <w:name w:val="Верхний колонтитул Знак"/>
    <w:basedOn w:val="849"/>
    <w:link w:val="858"/>
    <w:uiPriority w:val="99"/>
  </w:style>
  <w:style w:type="paragraph" w:styleId="860">
    <w:name w:val="Footer"/>
    <w:basedOn w:val="846"/>
    <w:link w:val="86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61" w:customStyle="1">
    <w:name w:val="Нижний колонтитул Знак"/>
    <w:basedOn w:val="849"/>
    <w:link w:val="860"/>
    <w:uiPriority w:val="99"/>
  </w:style>
  <w:style w:type="table" w:styleId="862">
    <w:name w:val="Table Grid"/>
    <w:basedOn w:val="85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3" w:customStyle="1">
    <w:name w:val="Гипертекстовая ссылка"/>
    <w:basedOn w:val="849"/>
    <w:uiPriority w:val="99"/>
    <w:rPr>
      <w:rFonts w:cs="Times New Roman"/>
      <w:b w:val="0"/>
      <w:color w:val="106bbe"/>
    </w:rPr>
  </w:style>
  <w:style w:type="character" w:styleId="864">
    <w:name w:val="annotation reference"/>
    <w:basedOn w:val="849"/>
    <w:uiPriority w:val="99"/>
    <w:semiHidden/>
    <w:unhideWhenUsed/>
    <w:rPr>
      <w:sz w:val="16"/>
      <w:szCs w:val="16"/>
    </w:rPr>
  </w:style>
  <w:style w:type="paragraph" w:styleId="865">
    <w:name w:val="annotation text"/>
    <w:basedOn w:val="846"/>
    <w:link w:val="866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6" w:customStyle="1">
    <w:name w:val="Текст примечания Знак"/>
    <w:basedOn w:val="849"/>
    <w:link w:val="865"/>
    <w:uiPriority w:val="99"/>
    <w:semiHidden/>
    <w:rPr>
      <w:sz w:val="20"/>
      <w:szCs w:val="20"/>
    </w:rPr>
  </w:style>
  <w:style w:type="paragraph" w:styleId="867">
    <w:name w:val="annotation subject"/>
    <w:basedOn w:val="865"/>
    <w:next w:val="865"/>
    <w:link w:val="868"/>
    <w:uiPriority w:val="99"/>
    <w:semiHidden/>
    <w:unhideWhenUsed/>
    <w:rPr>
      <w:b/>
      <w:bCs/>
    </w:rPr>
  </w:style>
  <w:style w:type="character" w:styleId="868" w:customStyle="1">
    <w:name w:val="Тема примечания Знак"/>
    <w:basedOn w:val="866"/>
    <w:link w:val="867"/>
    <w:uiPriority w:val="99"/>
    <w:semiHidden/>
    <w:rPr>
      <w:b/>
      <w:bCs/>
      <w:sz w:val="20"/>
      <w:szCs w:val="20"/>
    </w:rPr>
  </w:style>
  <w:style w:type="character" w:styleId="869" w:customStyle="1">
    <w:name w:val="Заголовок 1 Знак"/>
    <w:basedOn w:val="849"/>
    <w:link w:val="847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70" w:customStyle="1">
    <w:name w:val="Заголовок 2 Знак"/>
    <w:basedOn w:val="849"/>
    <w:link w:val="848"/>
    <w:uiPriority w:val="9"/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Relationship Id="rId10" Type="http://schemas.openxmlformats.org/officeDocument/2006/relationships/hyperlink" Target="consultantplus://offline/ref=5CFEC04D8510B7F5AEF18D595994929C5EDE399FB9F316908C910DC62CCDCA35A30475FBF2CF5A7873lAQ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D7CEA-D402-4F31-8AF8-BDBF821E7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Reanimator Extreme Edition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Лидия Антонова</dc:creator>
  <cp:lastModifiedBy>mio2-2@cap.ru</cp:lastModifiedBy>
  <cp:revision>21</cp:revision>
  <dcterms:created xsi:type="dcterms:W3CDTF">2022-10-31T10:31:00Z</dcterms:created>
  <dcterms:modified xsi:type="dcterms:W3CDTF">2025-11-26T16:55:02Z</dcterms:modified>
</cp:coreProperties>
</file>