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5E6418" w:rsidRPr="005E6418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Канаш</w:t>
            </w:r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Pr="005E6418" w:rsidRDefault="005E64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5928C" wp14:editId="2A53CCB8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Pr="005E6418" w:rsidRDefault="005E641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CE25DF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Чувашская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</w:t>
            </w:r>
            <w:r w:rsidR="005E6418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="005E6418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Канаш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Pr="005E6418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5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25DF" w:rsidRPr="005E6418" w:rsidRDefault="00205DCF" w:rsidP="00205DCF">
      <w:pPr>
        <w:spacing w:after="0" w:line="240" w:lineRule="auto"/>
        <w:ind w:right="4535"/>
        <w:jc w:val="both"/>
        <w:rPr>
          <w:b/>
        </w:rPr>
      </w:pP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утверждении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Порядка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определения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размера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арендной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платы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земельные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участки,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находящиеся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собственности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Канаш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Чувашской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Республики,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земельные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участки,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госу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дарственная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собственность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которые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азграничена,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предоставленные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аренду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без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торгов</w:t>
      </w:r>
    </w:p>
    <w:p w:rsidR="0069209E" w:rsidRDefault="0069209E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79B" w:rsidRPr="005E6418" w:rsidRDefault="00F9579B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E679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соответствии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</w:t>
      </w:r>
      <w:r w:rsidR="00F9579B">
        <w:rPr>
          <w:rFonts w:ascii="Times New Roman" w:hAnsi="Times New Roman"/>
          <w:sz w:val="24"/>
          <w:szCs w:val="24"/>
        </w:rPr>
        <w:t xml:space="preserve"> подпунктом 3 пункта 3 статьи 39.7 Земельного кодекса Российской Федерации, Федеральным законом от 05.12.2022 №513-ФЗ «</w:t>
      </w:r>
      <w:r w:rsidR="00F9579B" w:rsidRPr="00F9579B">
        <w:rPr>
          <w:rFonts w:ascii="Times New Roman" w:hAnsi="Times New Roman"/>
          <w:sz w:val="24"/>
          <w:szCs w:val="24"/>
        </w:rPr>
        <w:t>О внесении изменений в статьи</w:t>
      </w:r>
      <w:r w:rsidR="00F9579B">
        <w:rPr>
          <w:rFonts w:ascii="Times New Roman" w:hAnsi="Times New Roman"/>
          <w:sz w:val="24"/>
          <w:szCs w:val="24"/>
        </w:rPr>
        <w:t xml:space="preserve"> 18 и 22.1 Федерального закона «</w:t>
      </w:r>
      <w:r w:rsidR="00F9579B" w:rsidRPr="00F9579B">
        <w:rPr>
          <w:rFonts w:ascii="Times New Roman" w:hAnsi="Times New Roman"/>
          <w:sz w:val="24"/>
          <w:szCs w:val="24"/>
        </w:rPr>
        <w:t>О гос</w:t>
      </w:r>
      <w:r w:rsidR="00F9579B">
        <w:rPr>
          <w:rFonts w:ascii="Times New Roman" w:hAnsi="Times New Roman"/>
          <w:sz w:val="24"/>
          <w:szCs w:val="24"/>
        </w:rPr>
        <w:t>ударственной кадастровой оценке»,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Style w:val="a3"/>
          <w:rFonts w:ascii="Times New Roman" w:hAnsi="Times New Roman"/>
          <w:color w:val="auto"/>
          <w:sz w:val="24"/>
          <w:szCs w:val="24"/>
        </w:rPr>
        <w:t>постановлением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Кабинета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Министров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Чувашск</w:t>
      </w:r>
      <w:r w:rsidR="005E6418" w:rsidRPr="005E6418">
        <w:rPr>
          <w:rFonts w:ascii="Times New Roman" w:hAnsi="Times New Roman"/>
          <w:sz w:val="24"/>
          <w:szCs w:val="24"/>
        </w:rPr>
        <w:t xml:space="preserve">ой Республики от 19.06.2006 г. № </w:t>
      </w:r>
      <w:r w:rsidR="00CE4D06" w:rsidRPr="005E6418">
        <w:rPr>
          <w:rFonts w:ascii="Times New Roman" w:hAnsi="Times New Roman"/>
          <w:sz w:val="24"/>
          <w:szCs w:val="24"/>
        </w:rPr>
        <w:t>148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CE4D06" w:rsidRPr="005E6418"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>Об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утверждении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Порядка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определения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размера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арендной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платы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находящиеся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государственной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собственности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Республики,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государственная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собственность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которые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разграничена,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пре</w:t>
      </w:r>
      <w:r w:rsidR="00CE4D06" w:rsidRPr="005E6418">
        <w:rPr>
          <w:rFonts w:ascii="Times New Roman" w:hAnsi="Times New Roman"/>
          <w:sz w:val="24"/>
          <w:szCs w:val="24"/>
        </w:rPr>
        <w:t>дс</w:t>
      </w:r>
      <w:r w:rsidR="00205DCF" w:rsidRPr="005E6418">
        <w:rPr>
          <w:rFonts w:ascii="Times New Roman" w:hAnsi="Times New Roman"/>
          <w:sz w:val="24"/>
          <w:szCs w:val="24"/>
        </w:rPr>
        <w:t>тавленные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аренду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без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торгов»,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Собрание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депутатов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города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Канаш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Республики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решило:</w:t>
      </w:r>
    </w:p>
    <w:p w:rsidR="00E679EF" w:rsidRPr="005E6418" w:rsidRDefault="00E679EF" w:rsidP="00E679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5DF" w:rsidRPr="005E6418" w:rsidRDefault="00205DCF" w:rsidP="0020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5E6418">
        <w:rPr>
          <w:rFonts w:ascii="Times New Roman" w:hAnsi="Times New Roman"/>
          <w:sz w:val="24"/>
          <w:szCs w:val="24"/>
        </w:rPr>
        <w:t>1.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Утвердить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прилагаемый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="0069209E" w:rsidRPr="005E6418">
          <w:rPr>
            <w:rStyle w:val="a3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определения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размера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арендной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платы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находящиеся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муниципальной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собственности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города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Канаш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Республики,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государственная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собственность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которые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разграничена,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предоставленные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аренду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без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торгов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(далее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-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Порядок).</w:t>
      </w:r>
    </w:p>
    <w:p w:rsidR="005E6418" w:rsidRPr="005E6418" w:rsidRDefault="00205DCF" w:rsidP="005E6418">
      <w:pPr>
        <w:pStyle w:val="1"/>
        <w:spacing w:before="0" w:after="0"/>
        <w:ind w:firstLine="567"/>
        <w:jc w:val="both"/>
        <w:rPr>
          <w:rStyle w:val="a3"/>
          <w:b w:val="0"/>
          <w:bCs w:val="0"/>
          <w:color w:val="auto"/>
        </w:rPr>
      </w:pPr>
      <w:bookmarkStart w:id="2" w:name="sub_3"/>
      <w:r w:rsidRPr="005E6418">
        <w:rPr>
          <w:b w:val="0"/>
          <w:color w:val="auto"/>
          <w:shd w:val="clear" w:color="auto" w:fill="FFFFFF"/>
        </w:rPr>
        <w:t>2.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F85EB8" w:rsidRPr="005E6418">
        <w:rPr>
          <w:b w:val="0"/>
          <w:color w:val="auto"/>
          <w:shd w:val="clear" w:color="auto" w:fill="FFFFFF"/>
        </w:rPr>
        <w:t>Признать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F85EB8" w:rsidRPr="005E6418">
        <w:rPr>
          <w:b w:val="0"/>
          <w:color w:val="auto"/>
          <w:shd w:val="clear" w:color="auto" w:fill="FFFFFF"/>
        </w:rPr>
        <w:t>утратившим</w:t>
      </w:r>
      <w:r w:rsidR="005E6418" w:rsidRPr="005E6418">
        <w:rPr>
          <w:b w:val="0"/>
          <w:color w:val="auto"/>
          <w:shd w:val="clear" w:color="auto" w:fill="FFFFFF"/>
        </w:rPr>
        <w:t xml:space="preserve">и </w:t>
      </w:r>
      <w:r w:rsidR="00F85EB8" w:rsidRPr="005E6418">
        <w:rPr>
          <w:b w:val="0"/>
          <w:color w:val="auto"/>
          <w:shd w:val="clear" w:color="auto" w:fill="FFFFFF"/>
        </w:rPr>
        <w:t>силу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5E6418" w:rsidRPr="005E6418">
        <w:rPr>
          <w:rStyle w:val="a3"/>
          <w:b w:val="0"/>
          <w:bCs w:val="0"/>
          <w:color w:val="auto"/>
        </w:rPr>
        <w:t xml:space="preserve">решения Собрания депутатов города </w:t>
      </w:r>
      <w:r w:rsidR="00F85EB8" w:rsidRPr="005E6418">
        <w:rPr>
          <w:rStyle w:val="a3"/>
          <w:b w:val="0"/>
          <w:bCs w:val="0"/>
          <w:color w:val="auto"/>
        </w:rPr>
        <w:t>Канаш</w:t>
      </w:r>
      <w:r w:rsidR="005E6418"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Чувашской</w:t>
      </w:r>
      <w:r w:rsidR="005E6418"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Р</w:t>
      </w:r>
      <w:r w:rsidR="005E6418" w:rsidRPr="005E6418">
        <w:rPr>
          <w:rStyle w:val="a3"/>
          <w:b w:val="0"/>
          <w:bCs w:val="0"/>
          <w:color w:val="auto"/>
        </w:rPr>
        <w:t>еспублики:</w:t>
      </w:r>
    </w:p>
    <w:p w:rsidR="005E6418" w:rsidRPr="005E6418" w:rsidRDefault="005E6418" w:rsidP="005E6418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5E6418">
        <w:rPr>
          <w:rStyle w:val="a3"/>
          <w:b w:val="0"/>
          <w:bCs w:val="0"/>
          <w:color w:val="auto"/>
        </w:rPr>
        <w:t xml:space="preserve"> </w:t>
      </w:r>
      <w:proofErr w:type="gramStart"/>
      <w:r w:rsidRPr="005E6418">
        <w:rPr>
          <w:rStyle w:val="a3"/>
          <w:b w:val="0"/>
          <w:bCs w:val="0"/>
          <w:color w:val="auto"/>
        </w:rPr>
        <w:t>от</w:t>
      </w:r>
      <w:proofErr w:type="gramEnd"/>
      <w:r w:rsidRPr="005E6418">
        <w:rPr>
          <w:rStyle w:val="a3"/>
          <w:b w:val="0"/>
          <w:bCs w:val="0"/>
          <w:color w:val="auto"/>
        </w:rPr>
        <w:t xml:space="preserve"> 3 февраля 2017 г. № 23/7 «</w:t>
      </w:r>
      <w:r w:rsidR="00F85EB8" w:rsidRPr="005E6418">
        <w:rPr>
          <w:rStyle w:val="a3"/>
          <w:b w:val="0"/>
          <w:bCs w:val="0"/>
          <w:color w:val="auto"/>
        </w:rPr>
        <w:t>Об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утверждении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Порядка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определения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размера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арендной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платы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земельные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участки,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находящиеся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в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муниципальной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собственности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города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Канаш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Чувашской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Республики,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и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земельные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участки,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государственная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собственность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которые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разграничена,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пред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оставленные в аренду без торгов»;</w:t>
      </w:r>
      <w:r w:rsidRPr="005E6418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5E6418" w:rsidRPr="005E6418" w:rsidRDefault="005E6418" w:rsidP="005E6418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proofErr w:type="gramStart"/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от</w:t>
      </w:r>
      <w:proofErr w:type="gramEnd"/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27 октября 2017 г. № 32/7 «О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27 апреля 2018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39/1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>О внесении изменения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торгов</w:t>
      </w:r>
      <w:r>
        <w:rPr>
          <w:rFonts w:ascii="Times New Roman" w:hAnsi="Times New Roman"/>
          <w:sz w:val="24"/>
          <w:szCs w:val="24"/>
        </w:rPr>
        <w:t>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26 декабря 2018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46/5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lastRenderedPageBreak/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27 марта 2019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2/3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25 июня 2021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12/1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29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22/2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торгов».</w:t>
      </w:r>
    </w:p>
    <w:p w:rsidR="00F85EB8" w:rsidRPr="005E6418" w:rsidRDefault="00205DCF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>3.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Настоящее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решение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вступает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силу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после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его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официального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опубликования.</w:t>
      </w:r>
    </w:p>
    <w:bookmarkEnd w:id="2"/>
    <w:p w:rsidR="0069209E" w:rsidRPr="005E6418" w:rsidRDefault="0069209E" w:rsidP="005E6418">
      <w:pPr>
        <w:pStyle w:val="aa"/>
        <w:spacing w:after="0" w:line="240" w:lineRule="auto"/>
        <w:ind w:left="927" w:firstLine="567"/>
        <w:jc w:val="both"/>
        <w:rPr>
          <w:rFonts w:ascii="Times New Roman" w:hAnsi="Times New Roman"/>
          <w:sz w:val="24"/>
          <w:szCs w:val="24"/>
        </w:rPr>
      </w:pPr>
    </w:p>
    <w:p w:rsidR="00E679EF" w:rsidRPr="005E6418" w:rsidRDefault="00E679EF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"/>
      <w:bookmarkEnd w:id="1"/>
    </w:p>
    <w:p w:rsidR="00CE4D06" w:rsidRPr="005E6418" w:rsidRDefault="00CE4D06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4D06" w:rsidRPr="005E6418" w:rsidRDefault="00CE4D06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5E6418" w:rsidRPr="005E6418" w:rsidTr="005E641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5E6418" w:rsidRDefault="00CE25DF" w:rsidP="005C6D6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hAnsi="Times New Roman" w:cs="Times New Roman"/>
              </w:rPr>
              <w:t>Глава</w:t>
            </w:r>
            <w:r w:rsidR="005E6418" w:rsidRPr="005E6418">
              <w:rPr>
                <w:rFonts w:ascii="Times New Roman" w:hAnsi="Times New Roman" w:cs="Times New Roman"/>
              </w:rPr>
              <w:t xml:space="preserve"> </w:t>
            </w:r>
            <w:r w:rsidRPr="005E6418">
              <w:rPr>
                <w:rFonts w:ascii="Times New Roman" w:hAnsi="Times New Roman" w:cs="Times New Roman"/>
              </w:rPr>
              <w:t>города</w:t>
            </w:r>
            <w:r w:rsidR="005E6418" w:rsidRPr="005E641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5E6418" w:rsidRDefault="005E6418" w:rsidP="005C6D6B">
            <w:pPr>
              <w:pStyle w:val="a4"/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hAnsi="Times New Roman" w:cs="Times New Roman"/>
              </w:rPr>
              <w:t xml:space="preserve">    </w:t>
            </w:r>
            <w:r w:rsidR="00993803">
              <w:rPr>
                <w:rFonts w:ascii="Times New Roman" w:hAnsi="Times New Roman" w:cs="Times New Roman"/>
              </w:rPr>
              <w:t xml:space="preserve">          </w:t>
            </w:r>
            <w:r w:rsidRPr="005E6418">
              <w:rPr>
                <w:rFonts w:ascii="Times New Roman" w:hAnsi="Times New Roman" w:cs="Times New Roman"/>
              </w:rPr>
              <w:t xml:space="preserve">         </w:t>
            </w:r>
            <w:r w:rsidR="005C6D6B" w:rsidRPr="005E6418">
              <w:rPr>
                <w:rFonts w:ascii="Times New Roman" w:hAnsi="Times New Roman" w:cs="Times New Roman"/>
              </w:rPr>
              <w:t>Савчук</w:t>
            </w:r>
            <w:r w:rsidRPr="005E6418">
              <w:rPr>
                <w:rFonts w:ascii="Times New Roman" w:hAnsi="Times New Roman" w:cs="Times New Roman"/>
              </w:rPr>
              <w:t xml:space="preserve"> </w:t>
            </w:r>
            <w:r w:rsidR="005C6D6B" w:rsidRPr="005E6418">
              <w:rPr>
                <w:rFonts w:ascii="Times New Roman" w:hAnsi="Times New Roman" w:cs="Times New Roman"/>
              </w:rPr>
              <w:t>О.В.</w:t>
            </w:r>
          </w:p>
        </w:tc>
      </w:tr>
    </w:tbl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18" w:rsidRDefault="005E641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6418" w:rsidRPr="00D518F1" w:rsidRDefault="008F6DF5" w:rsidP="005E6418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bookmarkStart w:id="4" w:name="sub_1000"/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</w:r>
      <w:r w:rsidR="005E6418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решением Собрания 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депутатов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  <w:t>города</w:t>
      </w:r>
      <w:r w:rsidR="005E6418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Канаш</w:t>
      </w:r>
    </w:p>
    <w:p w:rsidR="008F6DF5" w:rsidRPr="00D518F1" w:rsidRDefault="005E6418" w:rsidP="005E64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Чувашской Республики</w:t>
      </w:r>
      <w:r w:rsidR="008F6DF5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  <w:t>от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E21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__________________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F6DF5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N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E21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____</w:t>
      </w:r>
    </w:p>
    <w:bookmarkEnd w:id="4"/>
    <w:p w:rsidR="005E6418" w:rsidRDefault="005E6418" w:rsidP="00057E21">
      <w:pPr>
        <w:pStyle w:val="1"/>
        <w:rPr>
          <w:rFonts w:ascii="Times New Roman" w:hAnsi="Times New Roman" w:cs="Times New Roman"/>
          <w:color w:val="auto"/>
        </w:rPr>
      </w:pPr>
    </w:p>
    <w:p w:rsidR="00CE25DF" w:rsidRPr="005E6418" w:rsidRDefault="008F6DF5" w:rsidP="00057E21">
      <w:pPr>
        <w:pStyle w:val="1"/>
        <w:rPr>
          <w:color w:val="auto"/>
        </w:rPr>
      </w:pPr>
      <w:r w:rsidRPr="005E6418">
        <w:rPr>
          <w:rFonts w:ascii="Times New Roman" w:hAnsi="Times New Roman" w:cs="Times New Roman"/>
          <w:color w:val="auto"/>
        </w:rPr>
        <w:t>Порядок</w:t>
      </w:r>
      <w:r w:rsidRPr="005E6418">
        <w:rPr>
          <w:rFonts w:ascii="Times New Roman" w:hAnsi="Times New Roman" w:cs="Times New Roman"/>
          <w:color w:val="auto"/>
        </w:rPr>
        <w:br/>
        <w:t>определения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размера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арендной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платы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земельные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участки,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находящиеся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в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муниципальной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собственности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="00057E21" w:rsidRPr="005E6418">
        <w:rPr>
          <w:rFonts w:ascii="Times New Roman" w:hAnsi="Times New Roman" w:cs="Times New Roman"/>
          <w:color w:val="auto"/>
        </w:rPr>
        <w:t>города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="00057E21" w:rsidRPr="005E6418">
        <w:rPr>
          <w:rFonts w:ascii="Times New Roman" w:hAnsi="Times New Roman" w:cs="Times New Roman"/>
          <w:color w:val="auto"/>
        </w:rPr>
        <w:t>Канаш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Чувашской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Республики,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и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земельные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участки,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государственная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собственность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которые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разграничена,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предоставленные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в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аренду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без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торгов</w:t>
      </w:r>
    </w:p>
    <w:p w:rsidR="00CE25DF" w:rsidRPr="005E6418" w:rsidRDefault="00CE25DF" w:rsidP="00E679EF">
      <w:pPr>
        <w:spacing w:after="0" w:line="240" w:lineRule="auto"/>
      </w:pP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01"/>
      <w:r w:rsidRPr="00410FA1">
        <w:rPr>
          <w:rFonts w:ascii="Times New Roman" w:hAnsi="Times New Roman"/>
          <w:sz w:val="24"/>
          <w:szCs w:val="24"/>
        </w:rPr>
        <w:t>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разработан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единообразного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находящиеся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торгов.</w:t>
      </w:r>
    </w:p>
    <w:bookmarkEnd w:id="5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способов: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111"/>
      <w:proofErr w:type="gramStart"/>
      <w:r w:rsidRPr="00410FA1">
        <w:rPr>
          <w:rFonts w:ascii="Times New Roman" w:hAnsi="Times New Roman"/>
          <w:sz w:val="24"/>
          <w:szCs w:val="24"/>
        </w:rPr>
        <w:t>а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14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bookmarkEnd w:id="6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б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службой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регистрации,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картографии,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в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5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7D0E65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9-1</w:t>
        </w:r>
        <w:r w:rsidR="00A479E3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1.2.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целей,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121"/>
      <w:proofErr w:type="gramStart"/>
      <w:r w:rsidRPr="00410FA1">
        <w:rPr>
          <w:rFonts w:ascii="Times New Roman" w:hAnsi="Times New Roman"/>
          <w:sz w:val="24"/>
          <w:szCs w:val="24"/>
        </w:rPr>
        <w:t>а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0,01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7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освобождение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результате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облагаемую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сумму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принимается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нулю;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вычета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меньше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0,01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вычета;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изъятого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оборота,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может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загрязненного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опасными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отходами,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радиоактивными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веществами,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подвергшегося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загрязнению,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заражению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деградации,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изъятием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оборота;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б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0,6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222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гражданину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индивидуального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подсобного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эксплуатации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гаражных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боксов,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наличии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зарегистрированного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бокса,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садоводства,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огородничества,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сенокошения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выпаса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сельскохозяйственных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животных;</w:t>
      </w:r>
    </w:p>
    <w:bookmarkEnd w:id="8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lastRenderedPageBreak/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крестьянскому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(фермерскому)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крестьянским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(фермерским)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деятельности;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01224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сельскохозяйственного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производства;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023"/>
      <w:bookmarkEnd w:id="9"/>
      <w:proofErr w:type="gramStart"/>
      <w:r w:rsidRPr="00410FA1">
        <w:rPr>
          <w:rFonts w:ascii="Times New Roman" w:hAnsi="Times New Roman"/>
          <w:sz w:val="24"/>
          <w:szCs w:val="24"/>
        </w:rPr>
        <w:t>в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1,5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10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5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статьи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39.7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2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"б"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сходных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занимаемых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024"/>
      <w:proofErr w:type="gramStart"/>
      <w:r w:rsidRPr="00410FA1">
        <w:rPr>
          <w:rFonts w:ascii="Times New Roman" w:hAnsi="Times New Roman"/>
          <w:sz w:val="24"/>
          <w:szCs w:val="24"/>
        </w:rPr>
        <w:t>г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2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11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FA1">
        <w:rPr>
          <w:rFonts w:ascii="Times New Roman" w:hAnsi="Times New Roman"/>
          <w:sz w:val="24"/>
          <w:szCs w:val="24"/>
        </w:rPr>
        <w:t>недропользователю</w:t>
      </w:r>
      <w:proofErr w:type="spell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работ,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недрами;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243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"в"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bookmarkEnd w:id="12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д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3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"г"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A479E3" w:rsidRPr="00410FA1">
        <w:rPr>
          <w:rFonts w:ascii="Times New Roman" w:hAnsi="Times New Roman"/>
          <w:sz w:val="24"/>
          <w:szCs w:val="24"/>
        </w:rPr>
        <w:t>9-12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1.3.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службой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регистрации,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картографии,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размещения: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дорог,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конструктивных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элементов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дорожных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производственных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капитальном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ремонте,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ремонте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содержании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автомобильных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дорог);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железнодорожного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транспорта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необщего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пользования;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линий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электропередачи,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линейно-кабельных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трубопроводов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сфере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тепло-,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водоснабжения,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водоотведения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очистки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непосредственно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утилизации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(захоронения)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твердых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бытовых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отходов;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объектов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системы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газоснабжения,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нефтепроводов,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газопроводов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трубопроводов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аналогичного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назначения,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конструктивных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элементов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являющихся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неотъемлемой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технологической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частью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гидроэлектростанций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тепловых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станций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других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электростанций,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обслуживающих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электросетевого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электроэнергетике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электроэнергетики;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аэродромов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вертодромов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посадочных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аэропортов,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системы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воздушного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движения;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перегрузочных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(терминалов),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гидротехнических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отстоя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безопасность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судоходства;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сети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инженерной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инфраструктуры,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эфирную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наземную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трансляцию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общероссийских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обязательных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общедоступных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телеканалов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радиоканалов;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lastRenderedPageBreak/>
        <w:t>объектов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спорта.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1.3.1.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превышает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сходных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занимаемых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</w:t>
      </w:r>
      <w:r w:rsidR="007D0E65" w:rsidRPr="00410FA1">
        <w:rPr>
          <w:rFonts w:ascii="Times New Roman" w:hAnsi="Times New Roman"/>
          <w:sz w:val="24"/>
          <w:szCs w:val="24"/>
        </w:rPr>
        <w:t>4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истечении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трех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индивидуального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введен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эксплуатацию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построенный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2-кратной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соответствующий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иное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земельным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2.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предусматриваются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периодичность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участком.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ежегодно,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через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одностороннем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потребительских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ежегодно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начало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очередного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финансового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начиная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12"/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уточнения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14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условий,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перерасчету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января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произошло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условий.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предусмотренное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абзацем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первым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положение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одностороннем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индекса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потребительских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цен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13"/>
      <w:bookmarkEnd w:id="13"/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предусматривается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возможность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перерасчету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января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произошло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индексация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потребительских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проводится.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03"/>
      <w:bookmarkEnd w:id="14"/>
      <w:r w:rsidRPr="00410FA1">
        <w:rPr>
          <w:rFonts w:ascii="Times New Roman" w:hAnsi="Times New Roman"/>
          <w:sz w:val="24"/>
          <w:szCs w:val="24"/>
        </w:rPr>
        <w:t>3.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Расчетным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исчисления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календарный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участком.</w:t>
      </w:r>
    </w:p>
    <w:bookmarkEnd w:id="15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4.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Полномочия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передаче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пределах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Градостроительным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субъектом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Градостроительным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042"/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Градостроительным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субъектом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Градостроительным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43"/>
      <w:bookmarkEnd w:id="16"/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пределах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05"/>
      <w:bookmarkEnd w:id="17"/>
      <w:r w:rsidRPr="00410FA1">
        <w:rPr>
          <w:rFonts w:ascii="Times New Roman" w:hAnsi="Times New Roman"/>
          <w:sz w:val="24"/>
          <w:szCs w:val="24"/>
        </w:rPr>
        <w:t>5.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рассмотрения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вопроса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передаче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заинтересованным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представляются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документы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согласно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статье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39.17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Федерации.</w:t>
      </w:r>
    </w:p>
    <w:bookmarkEnd w:id="18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6.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оформляется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примерной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формой,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518F1">
        <w:rPr>
          <w:rFonts w:ascii="Times New Roman" w:hAnsi="Times New Roman"/>
          <w:sz w:val="24"/>
          <w:szCs w:val="24"/>
        </w:rPr>
        <w:t xml:space="preserve">администрацией города Канаш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07"/>
      <w:r w:rsidRPr="00410FA1">
        <w:rPr>
          <w:rFonts w:ascii="Times New Roman" w:hAnsi="Times New Roman"/>
          <w:sz w:val="24"/>
          <w:szCs w:val="24"/>
        </w:rPr>
        <w:t>7.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перечислению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ежемесячно,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каждый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месяц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вперед,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10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месяца,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местный</w:t>
      </w:r>
      <w:r w:rsidR="00D518F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бюджет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D518F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объеме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08"/>
      <w:bookmarkEnd w:id="19"/>
      <w:r w:rsidRPr="00410FA1">
        <w:rPr>
          <w:rFonts w:ascii="Times New Roman" w:hAnsi="Times New Roman"/>
          <w:sz w:val="24"/>
          <w:szCs w:val="24"/>
        </w:rPr>
        <w:t>8.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стороне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выступает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несколько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обладающих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каждого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соразмерно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долям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принадлежащим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правообладателям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Отступление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правила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возможно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согласия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всех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правообладателей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суда.</w:t>
      </w:r>
    </w:p>
    <w:bookmarkEnd w:id="20"/>
    <w:p w:rsidR="008F6DF5" w:rsidRPr="00410FA1" w:rsidRDefault="007D0E6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9</w:t>
      </w:r>
      <w:r w:rsidR="008F6DF5"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вновь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создаваемых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рамках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производственных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непроизводственного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(социального,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культурного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спортивного)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назначения,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включенных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государственные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Федерации</w:t>
      </w:r>
      <w:r w:rsidR="00DB70DD"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государственные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муниципальные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8F6DF5"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экспериментальных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комплексного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жилой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застройки,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участка.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0F0F0"/>
        </w:rPr>
      </w:pP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прошедших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отбор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Совете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политике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оказания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поддержки.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0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находящиеся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522"/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прилагаются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документы,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подтверждающие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факт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(решение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переводе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средств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консервацию),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осмотра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должностными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192464">
        <w:rPr>
          <w:rFonts w:ascii="Times New Roman" w:hAnsi="Times New Roman"/>
          <w:sz w:val="24"/>
          <w:szCs w:val="24"/>
        </w:rPr>
        <w:t>д</w:t>
      </w:r>
      <w:r w:rsidRPr="00410FA1">
        <w:rPr>
          <w:rFonts w:ascii="Times New Roman" w:hAnsi="Times New Roman"/>
          <w:sz w:val="24"/>
          <w:szCs w:val="24"/>
        </w:rPr>
        <w:t>олжностными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</w:t>
      </w:r>
      <w:r w:rsidR="00192464">
        <w:rPr>
          <w:rFonts w:ascii="Times New Roman" w:hAnsi="Times New Roman"/>
          <w:sz w:val="24"/>
          <w:szCs w:val="24"/>
        </w:rPr>
        <w:t xml:space="preserve"> либо на земельных участках, находящихся в муниципальной собственности города Канаш</w:t>
      </w:r>
      <w:r w:rsidRPr="00410FA1">
        <w:rPr>
          <w:rFonts w:ascii="Times New Roman" w:hAnsi="Times New Roman"/>
          <w:sz w:val="24"/>
          <w:szCs w:val="24"/>
        </w:rPr>
        <w:t>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рабочих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обращения.</w:t>
      </w:r>
    </w:p>
    <w:bookmarkEnd w:id="21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нахождения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нескольких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части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соразмерно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1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резидентам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(промышленных)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резидентам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создаваемых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FA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образований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(моногородов)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масштабных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являющимся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(промышленных)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масштабных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2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целью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специального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контракта,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действия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специального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контракта.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16"/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3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налога.</w:t>
      </w:r>
      <w:bookmarkEnd w:id="22"/>
    </w:p>
    <w:p w:rsidR="00057E21" w:rsidRPr="00410FA1" w:rsidRDefault="000B5816" w:rsidP="00410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14</w:t>
      </w:r>
      <w:r w:rsidR="00057E21"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Федеральным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3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июля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2016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№237-ФЗ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«О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оценки»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оказании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результатом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принятие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требуется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соглашения),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цена,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предмета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проводимых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исходя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величины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стоимость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действующая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орган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(ходатайства)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предоставлении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такой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случаев,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п.1</w:t>
      </w:r>
      <w:r w:rsidRPr="00410FA1">
        <w:rPr>
          <w:rFonts w:ascii="Times New Roman" w:hAnsi="Times New Roman"/>
          <w:sz w:val="24"/>
          <w:szCs w:val="24"/>
        </w:rPr>
        <w:t>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Порядка.</w:t>
      </w:r>
    </w:p>
    <w:p w:rsidR="00057E21" w:rsidRPr="00410FA1" w:rsidRDefault="00057E21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0B5816" w:rsidRPr="00410FA1">
        <w:rPr>
          <w:rFonts w:ascii="Times New Roman" w:hAnsi="Times New Roman"/>
          <w:sz w:val="24"/>
          <w:szCs w:val="24"/>
        </w:rPr>
        <w:t>5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(ходатайства)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п.1</w:t>
      </w:r>
      <w:r w:rsidR="000B5816" w:rsidRPr="00410FA1">
        <w:rPr>
          <w:rFonts w:ascii="Times New Roman" w:hAnsi="Times New Roman"/>
          <w:sz w:val="24"/>
          <w:szCs w:val="24"/>
        </w:rPr>
        <w:t>4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результатом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принятие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требуется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полученной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итогам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оценки,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уполномоченный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(ходатайства),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оказании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услуги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решению,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предмета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проводимых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стоимость,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принятия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участка.".</w:t>
      </w:r>
    </w:p>
    <w:p w:rsidR="00CE25DF" w:rsidRPr="00410FA1" w:rsidRDefault="00CE25DF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E25DF" w:rsidRPr="0041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3488"/>
    <w:multiLevelType w:val="hybridMultilevel"/>
    <w:tmpl w:val="75C8D57A"/>
    <w:lvl w:ilvl="0" w:tplc="40D6D99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57E21"/>
    <w:rsid w:val="000B5816"/>
    <w:rsid w:val="00135957"/>
    <w:rsid w:val="00147D2C"/>
    <w:rsid w:val="00192464"/>
    <w:rsid w:val="001D5B25"/>
    <w:rsid w:val="001D72C1"/>
    <w:rsid w:val="00205DCF"/>
    <w:rsid w:val="00220FD9"/>
    <w:rsid w:val="00410FA1"/>
    <w:rsid w:val="0042187D"/>
    <w:rsid w:val="004221D3"/>
    <w:rsid w:val="005C6D6B"/>
    <w:rsid w:val="005E6418"/>
    <w:rsid w:val="00616FE2"/>
    <w:rsid w:val="0069209E"/>
    <w:rsid w:val="00724873"/>
    <w:rsid w:val="00765637"/>
    <w:rsid w:val="007D0E65"/>
    <w:rsid w:val="008F6DF5"/>
    <w:rsid w:val="0091324A"/>
    <w:rsid w:val="00993803"/>
    <w:rsid w:val="009A4079"/>
    <w:rsid w:val="00A479E3"/>
    <w:rsid w:val="00AA2F70"/>
    <w:rsid w:val="00BB4E6A"/>
    <w:rsid w:val="00CE25DF"/>
    <w:rsid w:val="00CE4D06"/>
    <w:rsid w:val="00D518F1"/>
    <w:rsid w:val="00DB52C1"/>
    <w:rsid w:val="00DB70DD"/>
    <w:rsid w:val="00E45864"/>
    <w:rsid w:val="00E679EF"/>
    <w:rsid w:val="00E70C9B"/>
    <w:rsid w:val="00F2144A"/>
    <w:rsid w:val="00F318DB"/>
    <w:rsid w:val="00F85B39"/>
    <w:rsid w:val="00F85EB8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70C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6A"/>
    <w:rPr>
      <w:rFonts w:ascii="Segoe UI" w:eastAsia="Calibri" w:hAnsi="Segoe UI" w:cs="Segoe UI"/>
      <w:sz w:val="18"/>
      <w:szCs w:val="18"/>
    </w:rPr>
  </w:style>
  <w:style w:type="character" w:customStyle="1" w:styleId="a9">
    <w:name w:val="Цветовое выделение"/>
    <w:uiPriority w:val="99"/>
    <w:rsid w:val="008F6DF5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69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69462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4624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4624/3975" TargetMode="External"/><Relationship Id="rId11" Type="http://schemas.openxmlformats.org/officeDocument/2006/relationships/hyperlink" Target="https://internet.garant.ru/document/redirect/12124624/39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Хайруллина Ольга Минкадировна</cp:lastModifiedBy>
  <cp:revision>2</cp:revision>
  <cp:lastPrinted>2023-07-06T11:37:00Z</cp:lastPrinted>
  <dcterms:created xsi:type="dcterms:W3CDTF">2023-07-07T05:12:00Z</dcterms:created>
  <dcterms:modified xsi:type="dcterms:W3CDTF">2023-07-07T05:12:00Z</dcterms:modified>
</cp:coreProperties>
</file>