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A0" w:rsidRDefault="004A5342">
      <w:pPr>
        <w:spacing w:before="120"/>
        <w:ind w:left="3540" w:firstLine="4"/>
        <w:jc w:val="both"/>
        <w:rPr>
          <w:b/>
        </w:rPr>
      </w:pPr>
      <w:bookmarkStart w:id="0" w:name="_GoBack"/>
      <w:r>
        <w:rPr>
          <w:b/>
          <w:caps/>
        </w:rPr>
        <w:t>ПРОТОКОЛ</w:t>
      </w:r>
    </w:p>
    <w:p w:rsidR="00D044A0" w:rsidRDefault="004A5342">
      <w:pPr>
        <w:spacing w:before="120"/>
        <w:jc w:val="center"/>
        <w:rPr>
          <w:b/>
        </w:rPr>
      </w:pPr>
      <w:r>
        <w:rPr>
          <w:b/>
        </w:rPr>
        <w:t>заседания конкурсной комиссии по рассмотрению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</w:p>
    <w:p w:rsidR="00D044A0" w:rsidRDefault="00D044A0">
      <w:pPr>
        <w:jc w:val="both"/>
        <w:rPr>
          <w:b/>
        </w:rPr>
      </w:pPr>
    </w:p>
    <w:p w:rsidR="00D044A0" w:rsidRDefault="004A5342">
      <w:pPr>
        <w:jc w:val="both"/>
        <w:rPr>
          <w:b/>
        </w:rPr>
      </w:pPr>
      <w:r>
        <w:rPr>
          <w:b/>
        </w:rPr>
        <w:t>12.03</w:t>
      </w:r>
      <w:r>
        <w:rPr>
          <w:b/>
        </w:rPr>
        <w:t>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№ 2</w:t>
      </w:r>
    </w:p>
    <w:bookmarkEnd w:id="0"/>
    <w:p w:rsidR="00D044A0" w:rsidRDefault="00D044A0">
      <w:pPr>
        <w:jc w:val="both"/>
        <w:rPr>
          <w:b/>
        </w:rPr>
      </w:pPr>
    </w:p>
    <w:p w:rsidR="00D044A0" w:rsidRDefault="004A5342">
      <w:pPr>
        <w:ind w:firstLine="720"/>
        <w:jc w:val="both"/>
      </w:pPr>
      <w:r>
        <w:t xml:space="preserve">1. Наименование  открытого конкурса: </w:t>
      </w:r>
    </w:p>
    <w:p w:rsidR="00D044A0" w:rsidRDefault="004A5342">
      <w:pPr>
        <w:ind w:firstLine="720"/>
        <w:jc w:val="both"/>
      </w:pPr>
      <w:r>
        <w:t>Открытый конкурс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</w:t>
      </w:r>
      <w:r>
        <w:t>ублике.</w:t>
      </w:r>
    </w:p>
    <w:p w:rsidR="00D044A0" w:rsidRDefault="00D044A0">
      <w:pPr>
        <w:ind w:firstLine="720"/>
        <w:jc w:val="both"/>
      </w:pPr>
    </w:p>
    <w:p w:rsidR="00D044A0" w:rsidRDefault="004A5342">
      <w:pPr>
        <w:ind w:firstLine="720"/>
        <w:jc w:val="both"/>
      </w:pPr>
      <w:r>
        <w:t xml:space="preserve">2. Организатор открытого конкурса: </w:t>
      </w:r>
    </w:p>
    <w:p w:rsidR="00D044A0" w:rsidRDefault="004A5342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D044A0" w:rsidRDefault="004A5342">
      <w:pPr>
        <w:ind w:firstLine="720"/>
        <w:jc w:val="both"/>
      </w:pPr>
      <w:r>
        <w:t>Место нахождения: 428004, г. Чебоксары, площадь Республики, д. 2.</w:t>
      </w:r>
    </w:p>
    <w:p w:rsidR="00D044A0" w:rsidRDefault="004A5342">
      <w:pPr>
        <w:jc w:val="both"/>
      </w:pPr>
      <w:r>
        <w:tab/>
        <w:t>Почтовый адрес: 428004, г. Чебоксары, площадь Республики, д. 2.</w:t>
      </w:r>
    </w:p>
    <w:p w:rsidR="00D044A0" w:rsidRDefault="004A5342">
      <w:pPr>
        <w:jc w:val="both"/>
      </w:pPr>
      <w:r>
        <w:tab/>
        <w:t>Адрес электр</w:t>
      </w:r>
      <w:r>
        <w:t xml:space="preserve">онной почты: </w:t>
      </w:r>
      <w:r>
        <w:rPr>
          <w:sz w:val="26"/>
          <w:szCs w:val="26"/>
        </w:rPr>
        <w:t>mintrans36@cap.ru</w:t>
      </w:r>
    </w:p>
    <w:p w:rsidR="00D044A0" w:rsidRDefault="004A5342">
      <w:pPr>
        <w:jc w:val="both"/>
      </w:pPr>
      <w:r>
        <w:tab/>
        <w:t>Номер контактного телефона: (8352) 56-50-83, факс: (8352) 62-48-60</w:t>
      </w:r>
    </w:p>
    <w:p w:rsidR="00D044A0" w:rsidRDefault="00D044A0">
      <w:pPr>
        <w:jc w:val="both"/>
        <w:rPr>
          <w:b/>
        </w:rPr>
      </w:pPr>
    </w:p>
    <w:p w:rsidR="00D044A0" w:rsidRDefault="004A5342">
      <w:pPr>
        <w:ind w:firstLine="720"/>
        <w:jc w:val="both"/>
      </w:pPr>
      <w:r>
        <w:t xml:space="preserve">3. Предмет открытого конкурса: </w:t>
      </w:r>
    </w:p>
    <w:p w:rsidR="00D044A0" w:rsidRDefault="004A5342">
      <w:pPr>
        <w:ind w:firstLine="720"/>
        <w:jc w:val="both"/>
        <w:rPr>
          <w:b/>
        </w:rPr>
      </w:pPr>
      <w:r>
        <w:t>Право на получение свидетельств об осуществлении перевозок по одному или нескольким межмуниципальным маршрутам регулярных пе</w:t>
      </w:r>
      <w:r>
        <w:t xml:space="preserve">ревозок в Чувашской Республике в соответствии с конкурсной документацией по </w:t>
      </w:r>
      <w:r>
        <w:rPr>
          <w:b/>
        </w:rPr>
        <w:t>лотам:</w:t>
      </w: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 xml:space="preserve">Лот № 1 </w:t>
      </w:r>
      <w:r>
        <w:rPr>
          <w:color w:val="262626"/>
          <w:sz w:val="26"/>
          <w:szCs w:val="26"/>
        </w:rPr>
        <w:t>межмуниципальный маршрут № 118 «ДКП г. Шумерля –</w:t>
      </w:r>
      <w:r>
        <w:rPr>
          <w:color w:val="262626"/>
          <w:sz w:val="26"/>
          <w:szCs w:val="26"/>
        </w:rPr>
        <w:br/>
        <w:t>п. Ульяновское».</w:t>
      </w: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>Сведения о начальных, промежуточных и конечных остановочных пунктах межмуниципального маршрута регу</w:t>
      </w:r>
      <w:r>
        <w:rPr>
          <w:b/>
          <w:bCs/>
          <w:color w:val="262626"/>
          <w:sz w:val="26"/>
          <w:szCs w:val="26"/>
        </w:rPr>
        <w:t>лярных перевозок:</w:t>
      </w: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ДКП  г. Шумерля – поворот на Волгу – Волга – п. Ульяновское (Шумерлинский муниципальный округ);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п. Ульяновское (Шумерлинский муниципальный округ) – Волга – поворот на Волгу – ДКП г. Шумерля.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 xml:space="preserve">Наименования улиц, </w:t>
      </w:r>
      <w:r>
        <w:rPr>
          <w:b/>
          <w:color w:val="262626"/>
          <w:sz w:val="26"/>
          <w:szCs w:val="26"/>
        </w:rPr>
        <w:t>автомобильных дорог по которым предполагается движение транспортных средств между остановочными пунктами по маршруту: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ул. К. Маркса – ул. Жукова – ул. Ленина – автодорога «Сура» – Волга –</w:t>
      </w:r>
      <w:r>
        <w:rPr>
          <w:color w:val="262626"/>
          <w:sz w:val="26"/>
          <w:szCs w:val="26"/>
        </w:rPr>
        <w:br/>
        <w:t>п. Ульяновское;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п. Ульяновское – Волга –</w:t>
      </w:r>
      <w:r>
        <w:rPr>
          <w:color w:val="262626"/>
          <w:sz w:val="26"/>
          <w:szCs w:val="26"/>
        </w:rPr>
        <w:t xml:space="preserve"> автодорога «Сура» – ул. Ленина – ул. Жукова –</w:t>
      </w:r>
      <w:r>
        <w:rPr>
          <w:color w:val="262626"/>
          <w:sz w:val="26"/>
          <w:szCs w:val="26"/>
        </w:rPr>
        <w:br/>
        <w:t>ул. К. Маркса.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Протяженность маршрута:</w:t>
      </w:r>
      <w:r>
        <w:rPr>
          <w:color w:val="262626"/>
          <w:sz w:val="26"/>
          <w:szCs w:val="26"/>
        </w:rPr>
        <w:t xml:space="preserve"> 16,6 км.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Требования к транспортным средствам: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Порядок по</w:t>
      </w:r>
      <w:r>
        <w:rPr>
          <w:b/>
          <w:color w:val="262626"/>
          <w:sz w:val="26"/>
          <w:szCs w:val="26"/>
        </w:rPr>
        <w:t xml:space="preserve">садки и высадки пассажиров: </w:t>
      </w:r>
      <w:r>
        <w:rPr>
          <w:color w:val="262626"/>
          <w:sz w:val="26"/>
          <w:szCs w:val="26"/>
        </w:rPr>
        <w:t>в установленных остановочных пунктах.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lastRenderedPageBreak/>
        <w:t>Вид регулярных перевозок:</w:t>
      </w:r>
      <w:r>
        <w:rPr>
          <w:color w:val="262626"/>
          <w:sz w:val="26"/>
          <w:szCs w:val="26"/>
        </w:rPr>
        <w:t> по нерегулируемым тарифам.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Расписание движения транспортных средств: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начального остановочного пункта: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7-30 (ежедневно), 11-45 (по субботам);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конечного остановочного пункта: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8-00 (ежедневно), 12-15 (по субботам).</w:t>
      </w:r>
    </w:p>
    <w:p w:rsidR="00D044A0" w:rsidRDefault="00D044A0">
      <w:pPr>
        <w:jc w:val="both"/>
        <w:rPr>
          <w:color w:val="262626"/>
          <w:sz w:val="26"/>
          <w:szCs w:val="26"/>
        </w:rPr>
      </w:pP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Лот № 2</w:t>
      </w:r>
      <w:r>
        <w:rPr>
          <w:color w:val="262626"/>
          <w:sz w:val="26"/>
          <w:szCs w:val="26"/>
        </w:rPr>
        <w:t xml:space="preserve"> межмуниципальный маршрут № 134 «Цивильск (ДКП г. Цивильск) – Новочебоксарск (ДКП г. Новочебоксарск)».</w:t>
      </w: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>Сведения о начальных, промежуточных и конечных остано</w:t>
      </w:r>
      <w:r>
        <w:rPr>
          <w:b/>
          <w:bCs/>
          <w:color w:val="262626"/>
          <w:sz w:val="26"/>
          <w:szCs w:val="26"/>
        </w:rPr>
        <w:t>вочных пунктах межмуниципального маршрута регулярных перевозок:</w:t>
      </w:r>
    </w:p>
    <w:p w:rsidR="00D044A0" w:rsidRDefault="004A5342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ДКП г. Цивильск – Опытный – Синьял-Котяки – Марпосадский поворот – Таушкасы – Тиньговатово – Булдеево – Тожможары – Большое Камаево – Шоршелский поворот – Малое Камаево – Шоршелы </w:t>
      </w:r>
      <w:r>
        <w:rPr>
          <w:color w:val="262626"/>
          <w:sz w:val="26"/>
          <w:szCs w:val="26"/>
        </w:rPr>
        <w:t>– Атлашево – ТЭЦ-3 –</w:t>
      </w:r>
      <w:r>
        <w:rPr>
          <w:color w:val="262626"/>
          <w:sz w:val="26"/>
          <w:szCs w:val="26"/>
        </w:rPr>
        <w:br/>
        <w:t>ул. Восточная – Ельниково – Ельниковский проезд – ДКП г. Новочебоксарск;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ДКП г. Новочебоксарск – Ельниковский проезд – Ельниково – ул. Восточная – ТЭЦ-3 – Атлашево – Шоршелы – Малое Камаево – Шоршелский поворот – Большое</w:t>
      </w:r>
      <w:r>
        <w:rPr>
          <w:color w:val="262626"/>
          <w:sz w:val="26"/>
          <w:szCs w:val="26"/>
        </w:rPr>
        <w:t xml:space="preserve"> Камаево – Тожможары – Булдеево – Тиньговатово – Таушкасы – Марпосадский поворот – Синьял-Котяки – Опытный – ДКП г. Цивильск.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</w:t>
      </w:r>
      <w:r>
        <w:rPr>
          <w:b/>
          <w:color w:val="262626"/>
          <w:sz w:val="26"/>
          <w:szCs w:val="26"/>
        </w:rPr>
        <w:t>шруту: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Новочебоксарск (ул. 10 Пятилетки - ул. Коммунальная - ул. Промышленная) – </w:t>
      </w:r>
      <w:r>
        <w:rPr>
          <w:color w:val="262626"/>
          <w:sz w:val="26"/>
          <w:szCs w:val="26"/>
        </w:rPr>
        <w:br/>
        <w:t>а/д «Кугеси - Атлашево - Новочебоксарск» – «Атлашево - «Волга» - Марпосад» – «Йошкар-Ола - Мариинский Посад - Цивильск» – а/д  М-7 «Волга»;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а/д  М</w:t>
      </w:r>
      <w:r>
        <w:rPr>
          <w:color w:val="262626"/>
          <w:sz w:val="26"/>
          <w:szCs w:val="26"/>
        </w:rPr>
        <w:t>-7 «Волга» – а/д «Кугеси - Атлашево - Новочебоксарск» – «Атлашево - «Волга» - Марпосад» – «Йошкар-Ола - Мариинский Посад - Цивильск» –  Новочебоксарск (ул. Промышленная - ул. Коммунальная - ул. 10 Пятилетки).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Протяженность маршрута:</w:t>
      </w:r>
      <w:r>
        <w:rPr>
          <w:color w:val="262626"/>
          <w:sz w:val="26"/>
          <w:szCs w:val="26"/>
        </w:rPr>
        <w:t xml:space="preserve"> 45,7 км.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Требования к транспортным средствам: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 xml:space="preserve">Порядок посадки и высадки пассажиров: </w:t>
      </w:r>
      <w:r>
        <w:rPr>
          <w:color w:val="262626"/>
          <w:sz w:val="26"/>
          <w:szCs w:val="26"/>
        </w:rPr>
        <w:t>в установленных остановочных пунктах.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Вид регулярных перев</w:t>
      </w:r>
      <w:r>
        <w:rPr>
          <w:b/>
          <w:color w:val="262626"/>
          <w:sz w:val="26"/>
          <w:szCs w:val="26"/>
        </w:rPr>
        <w:t>озок:</w:t>
      </w:r>
      <w:r>
        <w:rPr>
          <w:color w:val="262626"/>
          <w:sz w:val="26"/>
          <w:szCs w:val="26"/>
        </w:rPr>
        <w:t> по нерегулируемым тарифам.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Расписание движения транспортных средств: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начального остановочного пункта: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8-15,  13-15, 17-15;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конечного остановочного пункта: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6-30, 11-30,  15-15.</w:t>
      </w:r>
    </w:p>
    <w:p w:rsidR="00D044A0" w:rsidRDefault="00D044A0">
      <w:pPr>
        <w:jc w:val="both"/>
        <w:rPr>
          <w:color w:val="262626"/>
          <w:sz w:val="26"/>
          <w:szCs w:val="26"/>
        </w:rPr>
      </w:pP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Лот № 3</w:t>
      </w:r>
      <w:r>
        <w:rPr>
          <w:color w:val="262626"/>
          <w:sz w:val="26"/>
          <w:szCs w:val="26"/>
        </w:rPr>
        <w:t> межмуниципальный маршру</w:t>
      </w:r>
      <w:r>
        <w:rPr>
          <w:color w:val="262626"/>
          <w:sz w:val="26"/>
          <w:szCs w:val="26"/>
        </w:rPr>
        <w:t>т № 204 «Чебоксары (АВ «Пригородный»)  – к/с Энергия».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Чебоксары (АВ «Пригородный») – Русский драмтеатр – гостиница «Россия» -</w:t>
      </w:r>
      <w:r>
        <w:rPr>
          <w:color w:val="262626"/>
          <w:sz w:val="26"/>
          <w:szCs w:val="26"/>
        </w:rPr>
        <w:t xml:space="preserve"> Завод «Энергозапчасть» – проспект Тракторостроителей – Пихтулино – Типсирмы – Конноспортивная школа – к/с «Энергия»;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к/с «Энергия» – Конноспортивная школа – Пихтулино  – проспект Тракторостроителей – Завод «Энергозапчасть» – гостиница «Росс</w:t>
      </w:r>
      <w:r>
        <w:rPr>
          <w:color w:val="262626"/>
          <w:sz w:val="26"/>
          <w:szCs w:val="26"/>
        </w:rPr>
        <w:t>ия» – Русский драмтеатр – Чебоксары (АВ «Пригородный»).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прямой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ул. Привокзальная – пр. Ленина – ул. Гагарина – ул</w:t>
      </w:r>
      <w:r>
        <w:rPr>
          <w:color w:val="262626"/>
          <w:sz w:val="26"/>
          <w:szCs w:val="26"/>
        </w:rPr>
        <w:t>. Калинина – Марпосадское шоссе – а/д Р-176  «Вятка»;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обратный путь: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а/д Р-176 «Вятка» –  Марпосадское шоссе  – ул. Калинина – ул. Гагарина –</w:t>
      </w:r>
      <w:r>
        <w:rPr>
          <w:color w:val="262626"/>
          <w:sz w:val="26"/>
          <w:szCs w:val="26"/>
        </w:rPr>
        <w:br/>
        <w:t>пр. Ленина – ул. Привокзальная.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Протяженность маршрута:</w:t>
      </w:r>
      <w:r>
        <w:rPr>
          <w:color w:val="262626"/>
          <w:sz w:val="26"/>
          <w:szCs w:val="26"/>
        </w:rPr>
        <w:t> 20,2 км.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Требования к транспортным средствам: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Порядок посадки и высадки пассажиров:</w:t>
      </w:r>
      <w:r>
        <w:rPr>
          <w:color w:val="262626"/>
          <w:sz w:val="26"/>
          <w:szCs w:val="26"/>
        </w:rPr>
        <w:t> в установленных остановочных пунктах.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Вид регулярных перевозок:</w:t>
      </w:r>
      <w:r>
        <w:rPr>
          <w:color w:val="262626"/>
          <w:sz w:val="26"/>
          <w:szCs w:val="26"/>
        </w:rPr>
        <w:t> по нерегулируемым тар</w:t>
      </w:r>
      <w:r>
        <w:rPr>
          <w:color w:val="262626"/>
          <w:sz w:val="26"/>
          <w:szCs w:val="26"/>
        </w:rPr>
        <w:t>ифам.</w:t>
      </w:r>
    </w:p>
    <w:p w:rsidR="00D044A0" w:rsidRDefault="004A5342">
      <w:pPr>
        <w:jc w:val="both"/>
        <w:rPr>
          <w:b/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Расписание движения транспортных средств: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начального остановочного пункта: 5-40, 7-35, 8-30, 10-00,</w:t>
      </w:r>
      <w:r>
        <w:rPr>
          <w:color w:val="262626"/>
          <w:sz w:val="26"/>
          <w:szCs w:val="26"/>
        </w:rPr>
        <w:br/>
        <w:t>11-20, 12-40, 14-00, 15-00, 16-20, 17-25, 18-15, 19-40, 21-00.</w:t>
      </w:r>
    </w:p>
    <w:p w:rsidR="00D044A0" w:rsidRDefault="004A5342">
      <w:pPr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время отправления из конечного остановочного пункта: 6-20, 7-05, 7</w:t>
      </w:r>
      <w:r>
        <w:rPr>
          <w:color w:val="262626"/>
          <w:sz w:val="26"/>
          <w:szCs w:val="26"/>
        </w:rPr>
        <w:t>-40, 9-10, 10-00, 11-40, 13-00, 14-10, 15-30, 16-25, 17-25, 18-40, 20-20, 22-05.</w:t>
      </w:r>
    </w:p>
    <w:p w:rsidR="00D044A0" w:rsidRDefault="00D044A0">
      <w:pPr>
        <w:ind w:firstLine="708"/>
        <w:jc w:val="both"/>
      </w:pPr>
    </w:p>
    <w:p w:rsidR="00D044A0" w:rsidRDefault="004A5342">
      <w:pPr>
        <w:ind w:firstLine="708"/>
        <w:jc w:val="both"/>
      </w:pPr>
      <w:r>
        <w:t>4. Место, дата, время начала проведения процедуры по рассмотрению заявок на участие в открытом конкурсе.</w:t>
      </w:r>
    </w:p>
    <w:p w:rsidR="00D044A0" w:rsidRDefault="004A5342">
      <w:pPr>
        <w:ind w:firstLine="708"/>
        <w:jc w:val="both"/>
      </w:pPr>
      <w:r>
        <w:t>Рассмотрение заявок на участие в открытом конкурсе к</w:t>
      </w:r>
      <w:r>
        <w:t xml:space="preserve">онкурсной комиссией осуществлялось 12 марта 2024 года с 14 ч 00 мин по 14 ч 30 мин по адресу: 428004, г. Чебоксары, пл. Республики, д. 2, каб. 311. </w:t>
      </w:r>
    </w:p>
    <w:p w:rsidR="00D044A0" w:rsidRDefault="004A5342">
      <w:pPr>
        <w:jc w:val="both"/>
      </w:pPr>
      <w:r>
        <w:tab/>
        <w:t>5. Заседание конкурсной комиссии считается правомочным при присутствии на нём более 50 % от общего числа ч</w:t>
      </w:r>
      <w:r>
        <w:t>ленов конкурсной комиссии. В состав Конкурсной комиссии входят 7 членов. В заседании комиссии приняли участие 5 членов Конкурсной комиссии.</w:t>
      </w:r>
    </w:p>
    <w:p w:rsidR="00D044A0" w:rsidRDefault="004A5342">
      <w:pPr>
        <w:pStyle w:val="af6"/>
        <w:spacing w:before="0"/>
        <w:ind w:firstLine="709"/>
      </w:pPr>
      <w:r>
        <w:rPr>
          <w:rFonts w:ascii="Times New Roman" w:hAnsi="Times New Roman" w:cs="Times New Roman"/>
        </w:rPr>
        <w:t>Кворум имеется. Комиссия правомочна.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t xml:space="preserve">6. Комиссией рассмотрены заявки на участие в открытом конкурсе, представленные </w:t>
      </w:r>
      <w:r>
        <w:t>в конвертах, вскрытых 28 февраля 2024 года (протокол заседания  комиссии № 1 от 28 февраля 2024 года), на предмет их соответствия требованиям конкурсной документации, утвержденной приказом Минтранса Чувашии от 5 февраля 2024 года № 01-0329</w:t>
      </w:r>
      <w:r>
        <w:rPr>
          <w:bCs/>
        </w:rPr>
        <w:t xml:space="preserve">, и </w:t>
      </w:r>
      <w:r>
        <w:t xml:space="preserve">Федерального </w:t>
      </w:r>
      <w:r>
        <w:t>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</w:t>
      </w:r>
      <w:r>
        <w:t>едерации» и принято решение в отношении:</w:t>
      </w:r>
    </w:p>
    <w:p w:rsidR="00D044A0" w:rsidRDefault="004A5342">
      <w:pPr>
        <w:pStyle w:val="210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 xml:space="preserve">Лот № 3 </w:t>
      </w:r>
      <w:r>
        <w:rPr>
          <w:b/>
          <w:color w:val="262626"/>
          <w:sz w:val="26"/>
          <w:szCs w:val="26"/>
        </w:rPr>
        <w:t>межмуниципальный маршрут № 204 «Чебоксары (АВ «Пригородный»)  – к/с Энергия»: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«АвтоУспех» </w:t>
      </w:r>
      <w:r>
        <w:t>в связи с тем, что заявитель соответствует требованиям, предъявля</w:t>
      </w:r>
      <w:r>
        <w:t>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>ООО «Фор</w:t>
      </w:r>
      <w:r>
        <w:rPr>
          <w:b/>
        </w:rPr>
        <w:t>туна»</w:t>
      </w:r>
      <w:r>
        <w:t xml:space="preserve">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</w:t>
      </w:r>
      <w:r>
        <w:t>ции. Признать данного заявителя участником открытого конкурса;</w:t>
      </w: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rPr>
          <w:b/>
        </w:rPr>
        <w:t xml:space="preserve">ООО «Чебоксарская транспортная компания» </w:t>
      </w:r>
      <w:r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</w:t>
      </w:r>
      <w:r>
        <w:t>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конкурса;</w:t>
      </w:r>
    </w:p>
    <w:p w:rsidR="00D044A0" w:rsidRDefault="004A5342">
      <w:pPr>
        <w:pStyle w:val="210"/>
        <w:spacing w:after="0" w:line="240" w:lineRule="auto"/>
        <w:ind w:left="0" w:firstLine="708"/>
        <w:jc w:val="both"/>
        <w:rPr>
          <w:b/>
        </w:rPr>
      </w:pPr>
      <w:r>
        <w:rPr>
          <w:b/>
          <w:bCs/>
        </w:rPr>
        <w:t>ИП Жуков В.В</w:t>
      </w:r>
      <w:r>
        <w:t>. в связи с тем, что заявитель соответствует требованиям, предъявляемым к участнику</w:t>
      </w:r>
      <w:r>
        <w:t xml:space="preserve">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участником открытого конкурса.</w:t>
      </w:r>
    </w:p>
    <w:p w:rsidR="00D044A0" w:rsidRDefault="00D044A0">
      <w:pPr>
        <w:pStyle w:val="210"/>
        <w:spacing w:after="0" w:line="240" w:lineRule="auto"/>
        <w:ind w:left="0" w:firstLine="708"/>
        <w:jc w:val="both"/>
      </w:pPr>
    </w:p>
    <w:p w:rsidR="00D044A0" w:rsidRDefault="004A5342">
      <w:pPr>
        <w:pStyle w:val="210"/>
        <w:spacing w:after="0" w:line="240" w:lineRule="auto"/>
        <w:ind w:left="0" w:firstLine="708"/>
        <w:jc w:val="both"/>
      </w:pPr>
      <w:r>
        <w:t>В соответствии с пункто</w:t>
      </w:r>
      <w:r>
        <w:t>м 8.9 конкурсной документации в связи с тем, что по лоту не подано ни одной заявки, открытый конкурс признать несостоявшимся по следующим лотам:</w:t>
      </w:r>
    </w:p>
    <w:p w:rsidR="00D044A0" w:rsidRDefault="004A5342">
      <w:pPr>
        <w:ind w:firstLine="708"/>
        <w:jc w:val="both"/>
        <w:rPr>
          <w:color w:val="262626"/>
          <w:sz w:val="26"/>
          <w:szCs w:val="26"/>
        </w:rPr>
      </w:pPr>
      <w:r>
        <w:rPr>
          <w:b/>
          <w:bCs/>
          <w:color w:val="262626"/>
          <w:sz w:val="26"/>
          <w:szCs w:val="26"/>
        </w:rPr>
        <w:t xml:space="preserve">Лот № 1 </w:t>
      </w:r>
      <w:r>
        <w:rPr>
          <w:color w:val="262626"/>
          <w:sz w:val="26"/>
          <w:szCs w:val="26"/>
        </w:rPr>
        <w:t>межмуниципальный маршрут № 118 «ДКП г. Шумерля –</w:t>
      </w:r>
      <w:r>
        <w:rPr>
          <w:color w:val="262626"/>
          <w:sz w:val="26"/>
          <w:szCs w:val="26"/>
        </w:rPr>
        <w:br/>
        <w:t>п. Ульяновское».</w:t>
      </w:r>
    </w:p>
    <w:p w:rsidR="00D044A0" w:rsidRDefault="004A5342">
      <w:pPr>
        <w:shd w:val="clear" w:color="auto" w:fill="FFFFFF"/>
        <w:ind w:firstLine="708"/>
        <w:jc w:val="both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Лот № 2</w:t>
      </w:r>
      <w:r>
        <w:rPr>
          <w:color w:val="262626"/>
          <w:sz w:val="26"/>
          <w:szCs w:val="26"/>
        </w:rPr>
        <w:t xml:space="preserve"> межмуниципальный маршрут № 13</w:t>
      </w:r>
      <w:r>
        <w:rPr>
          <w:color w:val="262626"/>
          <w:sz w:val="26"/>
          <w:szCs w:val="26"/>
        </w:rPr>
        <w:t>4 «Цивильск (ДКП</w:t>
      </w:r>
      <w:r>
        <w:rPr>
          <w:color w:val="262626"/>
          <w:sz w:val="26"/>
          <w:szCs w:val="26"/>
        </w:rPr>
        <w:br/>
        <w:t>г. Цивильск) – Новочебоксарск (ДКП г. Новочебоксарск)».</w:t>
      </w:r>
    </w:p>
    <w:p w:rsidR="00D044A0" w:rsidRDefault="00D044A0">
      <w:pPr>
        <w:shd w:val="clear" w:color="auto" w:fill="FFFFFF"/>
        <w:ind w:firstLine="708"/>
        <w:jc w:val="both"/>
        <w:rPr>
          <w:color w:val="262626"/>
          <w:sz w:val="26"/>
          <w:szCs w:val="26"/>
        </w:rPr>
      </w:pPr>
    </w:p>
    <w:p w:rsidR="00D044A0" w:rsidRDefault="00D044A0">
      <w:pPr>
        <w:pStyle w:val="210"/>
        <w:spacing w:after="0" w:line="240" w:lineRule="auto"/>
        <w:ind w:left="0" w:firstLine="708"/>
        <w:jc w:val="both"/>
      </w:pPr>
    </w:p>
    <w:p w:rsidR="00D044A0" w:rsidRDefault="004A5342">
      <w:pPr>
        <w:ind w:firstLine="708"/>
        <w:jc w:val="both"/>
      </w:pPr>
      <w:r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D044A0">
        <w:tc>
          <w:tcPr>
            <w:tcW w:w="3528" w:type="dxa"/>
            <w:shd w:val="clear" w:color="auto" w:fill="auto"/>
          </w:tcPr>
          <w:p w:rsidR="00D044A0" w:rsidRDefault="00D044A0">
            <w:pPr>
              <w:spacing w:line="276" w:lineRule="auto"/>
              <w:jc w:val="both"/>
            </w:pPr>
          </w:p>
          <w:p w:rsidR="00D044A0" w:rsidRDefault="004A5342">
            <w:pPr>
              <w:spacing w:line="276" w:lineRule="auto"/>
              <w:jc w:val="both"/>
            </w:pPr>
            <w:r>
              <w:t>Председатель конкурсной комиссии:</w:t>
            </w:r>
          </w:p>
          <w:p w:rsidR="00D044A0" w:rsidRDefault="004A5342">
            <w:pPr>
              <w:spacing w:line="276" w:lineRule="auto"/>
              <w:jc w:val="both"/>
            </w:pPr>
            <w:r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D044A0" w:rsidRDefault="00D044A0">
            <w:pPr>
              <w:spacing w:line="276" w:lineRule="auto"/>
            </w:pPr>
          </w:p>
          <w:p w:rsidR="00D044A0" w:rsidRDefault="00D044A0">
            <w:pPr>
              <w:spacing w:line="276" w:lineRule="auto"/>
            </w:pPr>
          </w:p>
          <w:p w:rsidR="00D044A0" w:rsidRDefault="004A5342">
            <w:pPr>
              <w:spacing w:line="480" w:lineRule="auto"/>
            </w:pPr>
            <w:r>
              <w:t>Арлашкин Юрий Викторович            _____________</w:t>
            </w:r>
          </w:p>
          <w:p w:rsidR="00D044A0" w:rsidRDefault="004A5342">
            <w:pPr>
              <w:spacing w:line="480" w:lineRule="auto"/>
            </w:pPr>
            <w:r>
              <w:t xml:space="preserve">Алёшина Гульнара </w:t>
            </w:r>
            <w:r>
              <w:t>Мухамедшевна   _____________</w:t>
            </w:r>
          </w:p>
          <w:p w:rsidR="00D044A0" w:rsidRDefault="004A5342">
            <w:pPr>
              <w:spacing w:line="480" w:lineRule="auto"/>
            </w:pPr>
            <w:r>
              <w:t>Матулене Елена Михайловна             _____________</w:t>
            </w:r>
          </w:p>
          <w:p w:rsidR="00D044A0" w:rsidRDefault="004A5342">
            <w:pPr>
              <w:spacing w:line="480" w:lineRule="auto"/>
            </w:pPr>
            <w:r>
              <w:t>Михайлов Евгений Владимирович    ______________</w:t>
            </w:r>
          </w:p>
          <w:p w:rsidR="00D044A0" w:rsidRDefault="004A5342">
            <w:pPr>
              <w:spacing w:line="480" w:lineRule="auto"/>
            </w:pPr>
            <w:r>
              <w:t>Пилкин Артём Андреевич                  _____________</w:t>
            </w:r>
          </w:p>
          <w:p w:rsidR="00D044A0" w:rsidRDefault="00D044A0">
            <w:pPr>
              <w:spacing w:line="276" w:lineRule="auto"/>
            </w:pPr>
          </w:p>
        </w:tc>
      </w:tr>
    </w:tbl>
    <w:p w:rsidR="00D044A0" w:rsidRDefault="00D044A0"/>
    <w:sectPr w:rsidR="00D044A0">
      <w:footerReference w:type="default" r:id="rId8"/>
      <w:pgSz w:w="11906" w:h="16838"/>
      <w:pgMar w:top="1135" w:right="1133" w:bottom="1134" w:left="180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42" w:rsidRDefault="004A5342">
      <w:r>
        <w:separator/>
      </w:r>
    </w:p>
  </w:endnote>
  <w:endnote w:type="continuationSeparator" w:id="0">
    <w:p w:rsidR="004A5342" w:rsidRDefault="004A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D044A0" w:rsidRDefault="004A534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44A0" w:rsidRDefault="00D044A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42" w:rsidRDefault="004A5342">
      <w:r>
        <w:separator/>
      </w:r>
    </w:p>
  </w:footnote>
  <w:footnote w:type="continuationSeparator" w:id="0">
    <w:p w:rsidR="004A5342" w:rsidRDefault="004A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A0"/>
    <w:rsid w:val="004A5342"/>
    <w:rsid w:val="00D044A0"/>
    <w:rsid w:val="00D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f7">
    <w:name w:val="Основной текст с отступом Знак"/>
    <w:basedOn w:val="a0"/>
    <w:link w:val="af6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f7">
    <w:name w:val="Основной текст с отступом Знак"/>
    <w:basedOn w:val="a0"/>
    <w:link w:val="af6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B0C8-4E53-416A-9D27-6168802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Петрова Наталия</cp:lastModifiedBy>
  <cp:revision>2</cp:revision>
  <dcterms:created xsi:type="dcterms:W3CDTF">2024-03-15T05:40:00Z</dcterms:created>
  <dcterms:modified xsi:type="dcterms:W3CDTF">2024-03-15T05:40:00Z</dcterms:modified>
</cp:coreProperties>
</file>