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58D" w:rsidRDefault="00C41A1E">
      <w:pPr>
        <w:spacing w:line="240" w:lineRule="auto"/>
        <w:jc w:val="center"/>
        <w:rPr>
          <w:rFonts w:eastAsia="PT Astra Serif" w:cstheme="minorHAnsi"/>
          <w:b/>
          <w:bCs/>
          <w:sz w:val="26"/>
          <w:szCs w:val="26"/>
        </w:rPr>
      </w:pPr>
      <w:r>
        <w:rPr>
          <w:rFonts w:eastAsia="PT Astra Serif" w:cstheme="minorHAnsi"/>
          <w:b/>
          <w:bCs/>
          <w:sz w:val="26"/>
          <w:szCs w:val="26"/>
        </w:rPr>
        <w:t>Итоги отопительного сезона 2025/2026 года</w:t>
      </w:r>
    </w:p>
    <w:p w:rsidR="0058058D" w:rsidRDefault="00C41A1E">
      <w:pPr>
        <w:spacing w:after="0" w:line="240" w:lineRule="auto"/>
        <w:ind w:firstLine="708"/>
        <w:jc w:val="both"/>
        <w:rPr>
          <w:rFonts w:eastAsia="PT Astra Serif"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Отопительный сезон 2025/2026 года в Чувашской Республике начался 26 сентября 2025 года. В целом жилищно-коммунальное хозяйство функционировало устойчиво. Факты ограничения или прекращения горячего водоснабжения, теплоснабжения и газоснабжения на объектах Ж</w:t>
      </w:r>
      <w:r>
        <w:rPr>
          <w:rFonts w:eastAsia="PT Astra Serif" w:cstheme="minorHAnsi"/>
          <w:sz w:val="26"/>
          <w:szCs w:val="26"/>
        </w:rPr>
        <w:t>КХ более чем на сутки не фиксировались. Жилищный фонд во всех городских и муниципальных округах был обеспечен коммунальными услугами в полном объёме. Паспорта готовности к осенне-зимнему периоду 2025/2026 годов получены всеми 23 муниципальными образованиям</w:t>
      </w:r>
      <w:r>
        <w:rPr>
          <w:rFonts w:eastAsia="PT Astra Serif" w:cstheme="minorHAnsi"/>
          <w:sz w:val="26"/>
          <w:szCs w:val="26"/>
        </w:rPr>
        <w:t>и республики.</w:t>
      </w:r>
    </w:p>
    <w:p w:rsidR="0058058D" w:rsidRDefault="00C41A1E">
      <w:pPr>
        <w:spacing w:after="0" w:line="240" w:lineRule="auto"/>
        <w:jc w:val="center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Анализ аварийности и происшествий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За прошедший сезон на объектах коммунальной инфраструктуры зафиксировано 664 происшествия (в сезоне 2024/2025 — 588), что на 12,93% больше предыдущего периода.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Теплоснабжение и ГВС: 225 случаев (+0,9%</w:t>
      </w:r>
      <w:r>
        <w:rPr>
          <w:rFonts w:eastAsia="PT Astra Serif" w:cstheme="minorHAnsi"/>
          <w:sz w:val="26"/>
          <w:szCs w:val="26"/>
        </w:rPr>
        <w:t>). Наибольшее количество — в г. Чебоксары (211 случаев, уменьшение на 1,4% к прошлому году).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Холодное водоснабжение: 138 случаев (уменьшение на 0,72%). В Чебоксарах — 61 случай (уменьшение на 25,61%), в Шумерлинском округе — 17 случаев (уменьшение на 26,09</w:t>
      </w:r>
      <w:r>
        <w:rPr>
          <w:rFonts w:eastAsia="PT Astra Serif" w:cstheme="minorHAnsi"/>
          <w:sz w:val="26"/>
          <w:szCs w:val="26"/>
        </w:rPr>
        <w:t>%).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Газоснабжение: 24 случая (в прошлом сезоне — 2). Резкий рост связан с обрушением дымоходов из-за схода снега с крыш в марте. Отключения зафиксированы в Красночетайском (3 случая), Алатырском, Аликовском, Батыревском, Ибресинском, Канашском, Порецком, Ш</w:t>
      </w:r>
      <w:r>
        <w:rPr>
          <w:rFonts w:eastAsia="PT Astra Serif" w:cstheme="minorHAnsi"/>
          <w:sz w:val="26"/>
          <w:szCs w:val="26"/>
        </w:rPr>
        <w:t>умерлинском и Ядринском округах (по 2 случая), а также в Вурнарском, Комсомольском, Мариинско-Посадском, Чебоксарском и Шемуршинском (по 1 случаю).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Электроснабжение: 277 случаев, что на 23,66% больше прошлого года. Основной пик пришёлся на период с 20 по 2</w:t>
      </w:r>
      <w:r>
        <w:rPr>
          <w:rFonts w:eastAsia="PT Astra Serif" w:cstheme="minorHAnsi"/>
          <w:sz w:val="26"/>
          <w:szCs w:val="26"/>
        </w:rPr>
        <w:t>3 апреля из-за ледяного дождя (74 случая). Пострадали 99 населённых пунктов. Наибольший рост зафиксирован в Моргаушском (91 случай, рост в 2,28 раза), Чебоксарском (39 случаев, рост в 4,88 раза) и Красночетайском (20 случаев, рост в 1,82 раза) округах. Для</w:t>
      </w:r>
      <w:r>
        <w:rPr>
          <w:rFonts w:eastAsia="PT Astra Serif" w:cstheme="minorHAnsi"/>
          <w:sz w:val="26"/>
          <w:szCs w:val="26"/>
        </w:rPr>
        <w:t xml:space="preserve"> ликвидации последствий привлекалось 226 человек (в т.ч. 40 бригад электриков) и 71 единица техники.</w:t>
      </w:r>
    </w:p>
    <w:p w:rsidR="0058058D" w:rsidRDefault="00C41A1E">
      <w:pPr>
        <w:spacing w:after="0" w:line="240" w:lineRule="auto"/>
        <w:ind w:firstLine="708"/>
        <w:jc w:val="both"/>
        <w:rPr>
          <w:rFonts w:eastAsia="PT Astra Serif"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Среднее время устранения аварий за сезон составило 5 часов 17 минут. Наибольшее количество происшествий пришлось на г. Чебоксары, Моргаушский, Чебоксарский</w:t>
      </w:r>
      <w:r>
        <w:rPr>
          <w:rFonts w:eastAsia="PT Astra Serif" w:cstheme="minorHAnsi"/>
          <w:sz w:val="26"/>
          <w:szCs w:val="26"/>
        </w:rPr>
        <w:t xml:space="preserve"> и Шумерлинский округа.</w:t>
      </w:r>
    </w:p>
    <w:p w:rsidR="0058058D" w:rsidRDefault="00C41A1E">
      <w:pPr>
        <w:spacing w:after="0" w:line="240" w:lineRule="auto"/>
        <w:jc w:val="center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Работа с обращениями граждан</w:t>
      </w:r>
    </w:p>
    <w:p w:rsidR="0058058D" w:rsidRDefault="00C41A1E">
      <w:pPr>
        <w:spacing w:after="0" w:line="240" w:lineRule="auto"/>
        <w:ind w:firstLine="708"/>
        <w:jc w:val="both"/>
        <w:rPr>
          <w:rFonts w:eastAsia="PT Astra Serif"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С начала сезона на «Горячую линию» поступило 388 звонков (за аналогичный период прошлого года — 429). Несоответствие температурного режима подтвердилось по 169 обращениям. По 219 случаям нарушени</w:t>
      </w:r>
      <w:r>
        <w:rPr>
          <w:rFonts w:eastAsia="PT Astra Serif" w:cstheme="minorHAnsi"/>
          <w:sz w:val="26"/>
          <w:szCs w:val="26"/>
        </w:rPr>
        <w:t>я не подтвердились (системы были уже налажены).</w:t>
      </w:r>
    </w:p>
    <w:p w:rsidR="0058058D" w:rsidRDefault="00C41A1E">
      <w:pPr>
        <w:spacing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Также поступило 585 письменных обращений. Проведено 129 проверок, выявлено 207 нарушений жилищного законодательства, выдано 121 предписание, возбуждено 60 административных дел. Населению произведён пе</w:t>
      </w:r>
      <w:r>
        <w:rPr>
          <w:rFonts w:eastAsia="PT Astra Serif" w:cstheme="minorHAnsi"/>
          <w:sz w:val="26"/>
          <w:szCs w:val="26"/>
        </w:rPr>
        <w:t>рерасчёт за некачественные услуги на сумму 748 917 рублей.</w:t>
      </w:r>
    </w:p>
    <w:p w:rsidR="0058058D" w:rsidRDefault="00C41A1E">
      <w:pPr>
        <w:spacing w:after="0" w:line="240" w:lineRule="auto"/>
        <w:ind w:firstLine="708"/>
        <w:jc w:val="both"/>
        <w:rPr>
          <w:rFonts w:eastAsia="PT Astra Serif"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В связи с обильными снегопадами количество обращений по уборке снега выросло в более чем 8 раз (с 60 до 486). Выдано 164 предостережения, проведено 22 проверки, возбуждено 20 административн</w:t>
      </w:r>
      <w:r>
        <w:rPr>
          <w:rFonts w:eastAsia="PT Astra Serif" w:cstheme="minorHAnsi"/>
          <w:sz w:val="26"/>
          <w:szCs w:val="26"/>
        </w:rPr>
        <w:t xml:space="preserve">ых дел. Должностными лицами вынесено 76 постановлений </w:t>
      </w:r>
      <w:r>
        <w:rPr>
          <w:rFonts w:eastAsia="PT Astra Serif" w:cstheme="minorHAnsi"/>
          <w:sz w:val="26"/>
          <w:szCs w:val="26"/>
        </w:rPr>
        <w:lastRenderedPageBreak/>
        <w:t xml:space="preserve">о привлечении к ответственности с наложением штрафа на общую сумму 1,2 млн рублей. </w:t>
      </w:r>
    </w:p>
    <w:p w:rsidR="0058058D" w:rsidRDefault="00C41A1E">
      <w:pPr>
        <w:spacing w:after="0" w:line="240" w:lineRule="auto"/>
        <w:jc w:val="center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Ситуация с задолженностью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По итогам года отмечается положительная динамика сокращения просроченной задолженнос</w:t>
      </w:r>
      <w:r>
        <w:rPr>
          <w:rFonts w:eastAsia="PT Astra Serif" w:cstheme="minorHAnsi"/>
          <w:sz w:val="26"/>
          <w:szCs w:val="26"/>
        </w:rPr>
        <w:t>ти за энергоресурсы: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Общий объём долгов снизился:Природный газ: −18,7 млн руб. (−2,2%);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Электроэнергия: −9,9 млн руб. (−3,9%);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Тепловая энергия: −18,2 млн руб. (−18,2%).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Уровень оплаты за потреблённые ресурсы остаётся высоким: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Природный газ: 99,7%;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Электроэнергия: 98,8%;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Тепловая энергия: 99,8%.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Однако по состоянию на май сохраняется просроченная задолженность у ряда предприятий на сумму более 5 млн</w:t>
      </w:r>
      <w:r>
        <w:rPr>
          <w:rFonts w:eastAsia="PT Astra Serif" w:cstheme="minorHAnsi"/>
          <w:sz w:val="26"/>
          <w:szCs w:val="26"/>
        </w:rPr>
        <w:t xml:space="preserve"> рублей (при плане недопущения долга в размере 5,5 млн руб. выполнено лишь на 4,5%). Основные должники: МУП ЖКХ Красноармейского МО (2,3 млн), ООО «ОП ЖКХ» Порецкого МО (0,8 млн), МУП «Юманайское ЖКХ» (1 млн) и другие.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Для укрепления платёжной дисциплины и</w:t>
      </w:r>
      <w:r>
        <w:rPr>
          <w:rFonts w:eastAsia="PT Astra Serif" w:cstheme="minorHAnsi"/>
          <w:sz w:val="26"/>
          <w:szCs w:val="26"/>
        </w:rPr>
        <w:t xml:space="preserve"> погашения долгов проблемных предприятий из республиканского бюджета в 2025 году выделено: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На погашение задолженности за электроэнергию - 39,3 млн рублей;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На погашение задолженности за природный газ - 62,6 млн рублей;</w:t>
      </w:r>
    </w:p>
    <w:p w:rsidR="0058058D" w:rsidRDefault="00C41A1E">
      <w:pPr>
        <w:spacing w:after="0" w:line="240" w:lineRule="auto"/>
        <w:jc w:val="both"/>
        <w:rPr>
          <w:rFonts w:eastAsia="PT Astra Serif"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На погашение налогов и прочих платежей</w:t>
      </w:r>
      <w:r>
        <w:rPr>
          <w:rFonts w:eastAsia="PT Astra Serif" w:cstheme="minorHAnsi"/>
          <w:sz w:val="26"/>
          <w:szCs w:val="26"/>
        </w:rPr>
        <w:t xml:space="preserve"> - 22,1 млн рублей.</w:t>
      </w:r>
    </w:p>
    <w:p w:rsidR="0058058D" w:rsidRDefault="00C41A1E">
      <w:pPr>
        <w:spacing w:after="0" w:line="240" w:lineRule="auto"/>
        <w:jc w:val="center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Модернизация коммунальной инфраструктуры</w:t>
      </w:r>
    </w:p>
    <w:p w:rsidR="0058058D" w:rsidRDefault="00C41A1E">
      <w:pPr>
        <w:spacing w:after="0" w:line="240" w:lineRule="auto"/>
        <w:ind w:firstLine="708"/>
        <w:jc w:val="both"/>
        <w:rPr>
          <w:rFonts w:eastAsia="PT Astra Serif"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В отрасль направляются значительные средства: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В 2025 году — 2,96 млрд рублей. Завершено строительство тепловых сетей и ГВС протяжённостью 66,65 км (на сумму 1,5 млрд руб.), построено 11 б</w:t>
      </w:r>
      <w:r>
        <w:rPr>
          <w:rFonts w:eastAsia="PT Astra Serif" w:cstheme="minorHAnsi"/>
          <w:sz w:val="26"/>
          <w:szCs w:val="26"/>
        </w:rPr>
        <w:t>лочно-модульных котельных (344 млн руб.).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В рамках концессионных соглашений в Чебоксарах и Новочебоксарске заменены сети общей протяжённостью 36 км (730 млн руб.).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В г. Козловка завершены работы по сетям ГВС и теплоснабжения (0,858 км) за счёт республиканс</w:t>
      </w:r>
      <w:r>
        <w:rPr>
          <w:rFonts w:eastAsia="PT Astra Serif" w:cstheme="minorHAnsi"/>
          <w:sz w:val="26"/>
          <w:szCs w:val="26"/>
        </w:rPr>
        <w:t>кого бюджета.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В 2026 году бюджет отрасли составит 4,98 млрд рублей. Планируется замена или капитальный ремонт: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Котлов: замена или ремонт 77 единиц (+30% к прошлому году);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Тепловых сетей: замена 21,9 км;</w:t>
      </w:r>
    </w:p>
    <w:p w:rsidR="0058058D" w:rsidRDefault="00C41A1E">
      <w:pPr>
        <w:spacing w:after="0" w:line="240" w:lineRule="auto"/>
        <w:jc w:val="both"/>
        <w:rPr>
          <w:rFonts w:eastAsia="PT Astra Serif"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Водопроводных сетей: замена 8,4 км.</w:t>
      </w:r>
    </w:p>
    <w:p w:rsidR="0058058D" w:rsidRDefault="0058058D">
      <w:pPr>
        <w:pStyle w:val="af8"/>
        <w:jc w:val="right"/>
        <w:rPr>
          <w:rFonts w:eastAsia="PT Astra Serif" w:cstheme="minorHAnsi"/>
          <w:b/>
          <w:bCs/>
          <w:sz w:val="26"/>
          <w:szCs w:val="26"/>
        </w:rPr>
      </w:pPr>
    </w:p>
    <w:p w:rsidR="0058058D" w:rsidRDefault="0058058D">
      <w:pPr>
        <w:pStyle w:val="af8"/>
        <w:jc w:val="right"/>
        <w:rPr>
          <w:rFonts w:eastAsia="PT Astra Serif" w:cstheme="minorHAnsi"/>
          <w:b/>
          <w:bCs/>
          <w:sz w:val="26"/>
          <w:szCs w:val="26"/>
        </w:rPr>
      </w:pPr>
    </w:p>
    <w:p w:rsidR="0058058D" w:rsidRDefault="0058058D">
      <w:pPr>
        <w:spacing w:after="0" w:line="240" w:lineRule="auto"/>
        <w:jc w:val="center"/>
        <w:rPr>
          <w:rFonts w:eastAsia="Times New Roman" w:cstheme="minorHAnsi"/>
          <w:color w:val="000000"/>
          <w:sz w:val="26"/>
          <w:szCs w:val="26"/>
        </w:rPr>
      </w:pPr>
    </w:p>
    <w:p w:rsidR="0058058D" w:rsidRDefault="00C41A1E">
      <w:pPr>
        <w:spacing w:after="0" w:line="240" w:lineRule="auto"/>
        <w:jc w:val="center"/>
        <w:rPr>
          <w:rFonts w:cstheme="minorHAnsi"/>
          <w:sz w:val="26"/>
          <w:szCs w:val="26"/>
        </w:rPr>
      </w:pPr>
      <w:r>
        <w:rPr>
          <w:rFonts w:eastAsia="Times New Roman" w:cstheme="minorHAnsi"/>
          <w:color w:val="000000"/>
          <w:sz w:val="26"/>
          <w:szCs w:val="26"/>
        </w:rPr>
        <w:t>Завершение ото</w:t>
      </w:r>
      <w:r>
        <w:rPr>
          <w:rFonts w:eastAsia="Times New Roman" w:cstheme="minorHAnsi"/>
          <w:color w:val="000000"/>
          <w:sz w:val="26"/>
          <w:szCs w:val="26"/>
        </w:rPr>
        <w:t xml:space="preserve">пительного сезона </w:t>
      </w:r>
      <w:r>
        <w:rPr>
          <w:rFonts w:eastAsia="PT Astra Serif" w:cstheme="minorHAnsi"/>
          <w:sz w:val="26"/>
          <w:szCs w:val="26"/>
        </w:rPr>
        <w:t>2025/2026</w:t>
      </w:r>
    </w:p>
    <w:p w:rsidR="0058058D" w:rsidRDefault="00C41A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Times New Roman" w:cstheme="minorHAnsi"/>
          <w:color w:val="000000"/>
          <w:sz w:val="26"/>
          <w:szCs w:val="26"/>
        </w:rPr>
        <w:t>Отопительный сезон в целом завершился по Чувашской Республике в период с 4 по 8 мая 2026 года. Решение принималось муниципалитетами после наступления устойчивой тёплой погоды в соо</w:t>
      </w:r>
      <w:bookmarkStart w:id="0" w:name="_GoBack"/>
      <w:bookmarkEnd w:id="0"/>
      <w:r>
        <w:rPr>
          <w:rFonts w:eastAsia="Times New Roman" w:cstheme="minorHAnsi"/>
          <w:color w:val="000000"/>
          <w:sz w:val="26"/>
          <w:szCs w:val="26"/>
        </w:rPr>
        <w:t xml:space="preserve">ветствии с нормативами (+8°C в течение пяти дней). </w:t>
      </w:r>
    </w:p>
    <w:p w:rsidR="0058058D" w:rsidRDefault="00C41A1E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 xml:space="preserve"> настоящее время начаты подготовительные мероприятия. План работ согласован со всеми заинтересованными сторонами.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lastRenderedPageBreak/>
        <w:t>Ключевые сроки: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Завершить подготовку объектов ЖКХ и соцсферы — до 15 сентября;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Завершить комиссионную проверку объектов соцсфе</w:t>
      </w:r>
      <w:r>
        <w:rPr>
          <w:rFonts w:eastAsia="PT Astra Serif" w:cstheme="minorHAnsi"/>
          <w:sz w:val="26"/>
          <w:szCs w:val="26"/>
        </w:rPr>
        <w:t>ры и жилфонда — до 15 сентября;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Завершить проверку энергоснабжающих организаций — до 1 ноября;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Получить паспорта готовности муниципалитетов — до 20 ноября.</w:t>
      </w:r>
    </w:p>
    <w:p w:rsidR="0058058D" w:rsidRDefault="00C41A1E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>Согласован проект постановления «Об обеспечении устойчивой работы ТЭК и ЖКХ в осенне-зимний период 2</w:t>
      </w:r>
      <w:r>
        <w:rPr>
          <w:rFonts w:eastAsia="PT Astra Serif" w:cstheme="minorHAnsi"/>
          <w:sz w:val="26"/>
          <w:szCs w:val="26"/>
        </w:rPr>
        <w:t>026/27 года».</w:t>
      </w:r>
    </w:p>
    <w:p w:rsidR="0058058D" w:rsidRDefault="00C41A1E">
      <w:pPr>
        <w:spacing w:after="0" w:line="240" w:lineRule="auto"/>
        <w:jc w:val="both"/>
        <w:rPr>
          <w:rFonts w:eastAsia="PT Astra Serif" w:cstheme="minorHAnsi"/>
          <w:sz w:val="26"/>
          <w:szCs w:val="26"/>
        </w:rPr>
      </w:pPr>
      <w:r>
        <w:rPr>
          <w:rFonts w:eastAsia="PT Astra Serif" w:cstheme="minorHAnsi"/>
          <w:sz w:val="26"/>
          <w:szCs w:val="26"/>
        </w:rPr>
        <w:t xml:space="preserve">С целью отработки взаимодействия при ликвидации аварий разработан План учебно-тренировочных занятий во всех муниципалитетах со 2 июня по 16 июля. Цель — отработка взаимодействия всех звеньев при «условных» авариях и создание системы обратной </w:t>
      </w:r>
      <w:r>
        <w:rPr>
          <w:rFonts w:eastAsia="PT Astra Serif" w:cstheme="minorHAnsi"/>
          <w:sz w:val="26"/>
          <w:szCs w:val="26"/>
        </w:rPr>
        <w:t>связи.</w:t>
      </w:r>
    </w:p>
    <w:p w:rsidR="0058058D" w:rsidRDefault="0058058D">
      <w:pPr>
        <w:spacing w:after="0" w:line="240" w:lineRule="auto"/>
        <w:jc w:val="both"/>
        <w:rPr>
          <w:rFonts w:eastAsia="PT Astra Serif" w:cstheme="minorHAnsi"/>
          <w:sz w:val="26"/>
          <w:szCs w:val="26"/>
        </w:rPr>
      </w:pPr>
    </w:p>
    <w:p w:rsidR="0058058D" w:rsidRDefault="0058058D">
      <w:pPr>
        <w:spacing w:after="0"/>
        <w:jc w:val="both"/>
        <w:rPr>
          <w:rFonts w:cstheme="minorHAnsi"/>
          <w:sz w:val="26"/>
          <w:szCs w:val="26"/>
        </w:rPr>
      </w:pPr>
    </w:p>
    <w:p w:rsidR="0058058D" w:rsidRDefault="0058058D">
      <w:pPr>
        <w:spacing w:after="0"/>
        <w:jc w:val="both"/>
        <w:rPr>
          <w:rFonts w:cstheme="minorHAnsi"/>
          <w:sz w:val="26"/>
          <w:szCs w:val="26"/>
        </w:rPr>
      </w:pPr>
    </w:p>
    <w:sectPr w:rsidR="0058058D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A1E" w:rsidRDefault="00C41A1E">
      <w:pPr>
        <w:spacing w:after="0" w:line="240" w:lineRule="auto"/>
      </w:pPr>
      <w:r>
        <w:separator/>
      </w:r>
    </w:p>
  </w:endnote>
  <w:endnote w:type="continuationSeparator" w:id="0">
    <w:p w:rsidR="00C41A1E" w:rsidRDefault="00C41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A1E" w:rsidRDefault="00C41A1E">
      <w:pPr>
        <w:spacing w:after="0" w:line="240" w:lineRule="auto"/>
      </w:pPr>
      <w:r>
        <w:separator/>
      </w:r>
    </w:p>
  </w:footnote>
  <w:footnote w:type="continuationSeparator" w:id="0">
    <w:p w:rsidR="00C41A1E" w:rsidRDefault="00C41A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8D"/>
    <w:rsid w:val="00032350"/>
    <w:rsid w:val="0058058D"/>
    <w:rsid w:val="00C4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D64FF6-69AA-4778-8252-DF9483A7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Орг. отдел администрации Янтиковского района</cp:lastModifiedBy>
  <cp:revision>6</cp:revision>
  <dcterms:created xsi:type="dcterms:W3CDTF">2026-05-15T08:59:00Z</dcterms:created>
  <dcterms:modified xsi:type="dcterms:W3CDTF">2026-05-19T13:57:00Z</dcterms:modified>
</cp:coreProperties>
</file>