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8"/>
        <w:jc w:val="center"/>
        <w:spacing w:line="223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Информация о выполнении Государственной ветеринарной службой Чувашской Республики </w:t>
      </w:r>
      <w:r>
        <w:rPr>
          <w:rFonts w:ascii="PT Astra Serif" w:hAnsi="PT Astra Serif" w:eastAsia="PT Astra Serif" w:cs="PT Astra Serif"/>
          <w:b/>
          <w:sz w:val="24"/>
          <w:szCs w:val="24"/>
        </w:rPr>
      </w:r>
      <w:r>
        <w:rPr>
          <w:rFonts w:ascii="PT Astra Serif" w:hAnsi="PT Astra Serif" w:cs="PT Astra Serif"/>
        </w:rPr>
      </w:r>
    </w:p>
    <w:p>
      <w:pPr>
        <w:pStyle w:val="898"/>
        <w:jc w:val="center"/>
        <w:spacing w:line="223" w:lineRule="auto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Плана мероприятий по противодействию коррупции за 2024 год</w:t>
      </w:r>
      <w:r>
        <w:rPr>
          <w:rFonts w:ascii="PT Astra Serif" w:hAnsi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</w:p>
    <w:p>
      <w:pPr>
        <w:pStyle w:val="898"/>
        <w:jc w:val="center"/>
        <w:spacing w:line="223" w:lineRule="auto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</w:p>
    <w:tbl>
      <w:tblPr>
        <w:tblW w:w="14969" w:type="dxa"/>
        <w:tblInd w:w="-17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6406"/>
        <w:gridCol w:w="1926"/>
        <w:gridCol w:w="2346"/>
        <w:gridCol w:w="3742"/>
      </w:tblGrid>
      <w:tr>
        <w:tblPrEx/>
        <w:trPr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8" w:type="dxa"/>
            <w:vAlign w:val="center"/>
            <w:textDirection w:val="lrTb"/>
            <w:noWrap w:val="false"/>
          </w:tcPr>
          <w:p>
            <w:pPr>
              <w:pStyle w:val="872"/>
              <w:ind w:right="-108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№ п/п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6406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Наименование мероприятий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926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Срок исполнения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vAlign w:val="center"/>
            <w:textDirection w:val="lrTb"/>
            <w:noWrap w:val="false"/>
          </w:tcPr>
          <w:p>
            <w:pPr>
              <w:pStyle w:val="872"/>
              <w:ind w:right="-108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Исполнители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2" w:type="dxa"/>
            <w:vAlign w:val="center"/>
            <w:textDirection w:val="lrTb"/>
            <w:noWrap w:val="false"/>
          </w:tcPr>
          <w:p>
            <w:pPr>
              <w:pStyle w:val="872"/>
              <w:ind w:right="-108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Информация о выполнении мероприятия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8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6406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Разработка проектов нормативных правовых актов Чувашской Республики 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Государственной ветеринарной службы Чувашской Республики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(далее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также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–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Служба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)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по реализации решений, принятых на федеральном уровне в целях противодействия коррупции,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 вопросам государственной гражданской службы Чувашской Республики (далее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также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– гражданская служба)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926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течение года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vAlign w:val="top"/>
            <w:textDirection w:val="lrTb"/>
            <w:noWrap w:val="false"/>
          </w:tcPr>
          <w:p>
            <w:pPr>
              <w:pStyle w:val="872"/>
              <w:ind w:right="-108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структурные подразделения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2" w:type="dxa"/>
            <w:vAlign w:val="top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Исполнено.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Нормативные правовые акты Чувашской Республики и Службы  в целях противодействия коррупции и по вопросам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гражданской службы принимаются своевременно.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8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6406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Проведение антикоррупционной экспертизы нормативных правовых актов Чувашской Республики и проектов нормативных правовых актов Чувашской Республики по направлениям деятельности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Службы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926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течение года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vAlign w:val="top"/>
            <w:textDirection w:val="lrTb"/>
            <w:noWrap w:val="false"/>
          </w:tcPr>
          <w:p>
            <w:pPr>
              <w:pStyle w:val="872"/>
              <w:ind w:right="-108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структурные подразделения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2" w:type="dxa"/>
            <w:vAlign w:val="top"/>
            <w:textDirection w:val="lrTb"/>
            <w:noWrap w:val="false"/>
          </w:tcPr>
          <w:p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Исполнено.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целях исполнения Закона Чувашской Республики «О противодействии коррупции», постановления Кабинета Министров Чувашской Республики от 25 декабря 2007 г. № 348 «О Порядке проведения антикоррупционной экспертизы нормативных правовых актов Чувашской Республик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 и их проектов» Госветслужбой Чувашии проводится антикоррупционная экспертиза нормативных правовых актов Чувашской Республики и их проектов. В 2024 году было подготовлено 37 заключений по результатам антикоррупционной экспертизы, в ходе которых коррупциоге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нных норм не выявлено.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8" w:type="dxa"/>
            <w:vAlign w:val="top"/>
            <w:textDirection w:val="lrTb"/>
            <w:noWrap w:val="false"/>
          </w:tcPr>
          <w:p>
            <w:pPr>
              <w:pStyle w:val="872"/>
              <w:ind w:right="-108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6406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Обеспечение участия Общественного совета при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Государственной ветеринарной службе Чувашской Республики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(далее −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Общественный совет) и независимых экспертов в проведении антикоррупционной экспертизы проектов нормативных правовых актов Чувашской Республики по направлениям деятельности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Службы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926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течение года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vAlign w:val="top"/>
            <w:textDirection w:val="lrTb"/>
            <w:noWrap w:val="false"/>
          </w:tcPr>
          <w:p>
            <w:pPr>
              <w:pStyle w:val="872"/>
              <w:ind w:right="-108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</w:rPr>
              <w:t xml:space="preserve">отдел правового обеспечения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2" w:type="dxa"/>
            <w:vAlign w:val="top"/>
            <w:textDirection w:val="lrTb"/>
            <w:noWrap w:val="false"/>
          </w:tcPr>
          <w:p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Исполнено.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2024 году члены Общественного совета активно принимали участие в обсуждении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проектов нормативных правовых актов Чувашской Республики</w:t>
            </w:r>
            <w:r/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8" w:type="dxa"/>
            <w:vAlign w:val="top"/>
            <w:textDirection w:val="lrTb"/>
            <w:noWrap w:val="false"/>
          </w:tcPr>
          <w:p>
            <w:pPr>
              <w:pStyle w:val="872"/>
              <w:ind w:right="-2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6406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Анализ обращений граждан на предмет наличия в них информации о фактах коррупции со стороны государственных гражданских служащих Чувашской Республики, замещающих должности государственной гражданской службы Чувашской Республики 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Службе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(далее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−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гражданский служащий)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926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течение года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vAlign w:val="top"/>
            <w:textDirection w:val="lrTb"/>
            <w:noWrap w:val="false"/>
          </w:tcPr>
          <w:p>
            <w:pPr>
              <w:pStyle w:val="872"/>
              <w:ind w:right="-108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структурные подразделения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совместно с отделом </w:t>
            </w: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</w:rPr>
              <w:t xml:space="preserve">правового обеспечения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2" w:type="dxa"/>
            <w:vAlign w:val="top"/>
            <w:textDirection w:val="lrTb"/>
            <w:noWrap w:val="false"/>
          </w:tcPr>
          <w:p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Исполнено.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jc w:val="both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Обращений с информацией о фактах коррупции не поступало.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Сведений о фактах привлечения к ответственности должностных лиц Госветслужбы Чувашии за правонарушения, связанные с использованием своего служебного положения, в 2024 году не имелось.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10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8" w:type="dxa"/>
            <w:vAlign w:val="top"/>
            <w:textDirection w:val="lrTb"/>
            <w:noWrap w:val="false"/>
          </w:tcPr>
          <w:p>
            <w:pPr>
              <w:pStyle w:val="872"/>
              <w:ind w:left="-108" w:right="-2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6406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Мониторинг публикаций в средствах массовой информации о фактах проявления коррупции 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Службе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926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течение года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vAlign w:val="top"/>
            <w:textDirection w:val="lrTb"/>
            <w:noWrap w:val="false"/>
          </w:tcPr>
          <w:p>
            <w:pPr>
              <w:pStyle w:val="872"/>
              <w:ind w:right="-108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отдел планирования, имущественных отношений и организационной  работы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2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2024 году публикаций в средствах массовой информации о фактах проявления коррупции в Службе не выявлено.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9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8" w:type="dxa"/>
            <w:vAlign w:val="top"/>
            <w:textDirection w:val="lrTb"/>
            <w:noWrap w:val="false"/>
          </w:tcPr>
          <w:p>
            <w:pPr>
              <w:pStyle w:val="872"/>
              <w:ind w:left="-1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6406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Экспертиза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закупочной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документации, связанной с осуществлением государственных закупок товаров, ра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бот, услуг для обеспечения нужд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Службы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Проведение мониторинга цен товаров, работ, услуг, закупаемых для нужд Службы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Контроль эффективности бюджетных расходов при проведении закупок для обеспечения нужд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Службы.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Проведение мероприятий по исключению случаев участия на стороне поставщиков продукции для нужд Службы близких родственников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гражданских служащих, а также лиц, которые могут </w:t>
            </w:r>
            <w:bookmarkStart w:id="0" w:name="undefined"/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bookmarkEnd w:id="0"/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оказать прямое влияние на процесс организации закупок для нужд Службы.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Мониторинг и выявление коррупционных рисков, в том числе причин и условий коррупции, при проведении закупок для обеспечения нужд Службы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и устранение выявленных коррупционных рисков.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926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течение года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vAlign w:val="top"/>
            <w:textDirection w:val="lrTb"/>
            <w:noWrap w:val="false"/>
          </w:tcPr>
          <w:p>
            <w:pPr>
              <w:pStyle w:val="872"/>
              <w:ind w:right="-108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отдел планирования, имущественных отношений и организационной  работы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2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2024 году Службой конкурентных способов поредения поставщиков  (подрядчиков, определения исполнителей) не проводилось.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Службой ежеквартально  проводится анализ эффективности бюджетных расходов при проведении закупок для обеспечения нужд Службы и подведомственных учреждений.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Мониторинг цен товаров, работ, услуг осуществлялся Службой в рамках требований Федерального закона «О контрактной системе в сфере закупок товаров, работ, услуг для обеспечения государственных и муниципальных нужд» от 05.04.2013 № 44-ФЗ.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 2024 году случаев участия на стороне поставщиков продукции для нужд Службы близких родственников гражданских служащих, а также лиц, которые могут оказать прямое влияние на процесс организации закупок для нужд Службы, не имелось.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Коррупционные риски при проведении закупок для обеспечения нужд Службы в 2024 году не имелись.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8" w:type="dxa"/>
            <w:vAlign w:val="top"/>
            <w:textDirection w:val="lrTb"/>
            <w:noWrap w:val="false"/>
          </w:tcPr>
          <w:p>
            <w:pPr>
              <w:pStyle w:val="872"/>
              <w:ind w:left="-1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6406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Обеспечение соблюдения правил приема граждан, в том числе выездных приемов, в рамках проведения единых информационных дней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926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течение года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vAlign w:val="top"/>
            <w:textDirection w:val="lrTb"/>
            <w:noWrap w:val="false"/>
          </w:tcPr>
          <w:p>
            <w:pPr>
              <w:pStyle w:val="872"/>
              <w:ind w:right="-108"/>
              <w:jc w:val="center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отдел планирования, имущественных отношений и организационной  работы</w:t>
            </w:r>
            <w:r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2" w:type="dxa"/>
            <w:vAlign w:val="top"/>
            <w:textDirection w:val="lrTb"/>
            <w:noWrap w:val="false"/>
          </w:tcPr>
          <w:p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Исполнено.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Работа ведется.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8" w:type="dxa"/>
            <w:vAlign w:val="top"/>
            <w:textDirection w:val="lrTb"/>
            <w:noWrap w:val="false"/>
          </w:tcPr>
          <w:p>
            <w:pPr>
              <w:pStyle w:val="872"/>
              <w:ind w:left="-1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6406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Обеспечение взаимодействия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Службы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926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течение года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vAlign w:val="top"/>
            <w:textDirection w:val="lrTb"/>
            <w:noWrap w:val="false"/>
          </w:tcPr>
          <w:p>
            <w:pPr>
              <w:pStyle w:val="872"/>
              <w:ind w:right="-108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структурные подразделения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2" w:type="dxa"/>
            <w:vAlign w:val="top"/>
            <w:textDirection w:val="lrTb"/>
            <w:noWrap w:val="false"/>
          </w:tcPr>
          <w:p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Исполнено.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Работа ведется.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8" w:type="dxa"/>
            <w:vAlign w:val="top"/>
            <w:textDirection w:val="lrTb"/>
            <w:noWrap w:val="false"/>
          </w:tcPr>
          <w:p>
            <w:pPr>
              <w:pStyle w:val="872"/>
              <w:ind w:left="-1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6406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Обеспечение доступа граждан и организаций к информации о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деятельности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Службы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926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течение года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vAlign w:val="top"/>
            <w:textDirection w:val="lrTb"/>
            <w:noWrap w:val="false"/>
          </w:tcPr>
          <w:p>
            <w:pPr>
              <w:pStyle w:val="872"/>
              <w:ind w:right="-108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отдел планирования, имущественных отношений и организационной  работы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совместно со структурными подразделениями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2" w:type="dxa"/>
            <w:vAlign w:val="top"/>
            <w:textDirection w:val="lrTb"/>
            <w:noWrap w:val="false"/>
          </w:tcPr>
          <w:p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Исполнено.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Работа ведется. На Портале органов власти Чувашской Республики в информационно-телекоммуникационной сети «Интернет» имеется официальный сайт Госветслужбы Чувашии, который поддерживается в актуальном состоянии, где размещаются новости, публикации, выступлени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я.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8" w:type="dxa"/>
            <w:vAlign w:val="top"/>
            <w:textDirection w:val="lrTb"/>
            <w:noWrap w:val="false"/>
          </w:tcPr>
          <w:p>
            <w:pPr>
              <w:pStyle w:val="872"/>
              <w:ind w:left="-1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6406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Актуализация раздела «Противодействие коррупции» на </w:t>
            </w: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</w:rPr>
              <w:t xml:space="preserve">официальном сайте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Службы</w:t>
            </w: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</w:rPr>
              <w:t xml:space="preserve"> в информационно-телекоммуникационной сети «Интернет»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926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течение года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vAlign w:val="top"/>
            <w:textDirection w:val="lrTb"/>
            <w:noWrap w:val="false"/>
          </w:tcPr>
          <w:p>
            <w:pPr>
              <w:pStyle w:val="872"/>
              <w:ind w:right="-108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отдел планирования, имущественных отношений и организационной  работы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совместно с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отдел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</w:rPr>
              <w:t xml:space="preserve">правового обеспечения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2" w:type="dxa"/>
            <w:vAlign w:val="top"/>
            <w:textDirection w:val="lrTb"/>
            <w:noWrap w:val="false"/>
          </w:tcPr>
          <w:p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Исполнено.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Работа ведется. Актуальная информация размещается на официальном сайте Госветслужбы Чувашии в баннере «Противодействие коррупции».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8" w:type="dxa"/>
            <w:vAlign w:val="top"/>
            <w:textDirection w:val="lrTb"/>
            <w:noWrap w:val="false"/>
          </w:tcPr>
          <w:p>
            <w:pPr>
              <w:pStyle w:val="872"/>
              <w:ind w:left="-1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6406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keepLines/>
              <w:keepNext/>
              <w:rPr>
                <w:rFonts w:ascii="PT Astra Serif" w:hAnsi="PT Astra Serif" w:cs="PT Astra Serif"/>
                <w:iCs/>
                <w:sz w:val="24"/>
                <w:szCs w:val="24"/>
              </w:rPr>
              <w:suppressLineNumbers/>
            </w:pP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</w:rPr>
              <w:t xml:space="preserve">Предоставление средствам массовой информации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 деятельности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Службы</w:t>
            </w: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</w:rPr>
              <w:t xml:space="preserve">, а также 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беспечение взаимодействия с правоохранительными органами и иными государственными органами по вопросам противодействия коррупции </w:t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926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 запросам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vAlign w:val="top"/>
            <w:textDirection w:val="lrTb"/>
            <w:noWrap w:val="false"/>
          </w:tcPr>
          <w:p>
            <w:pPr>
              <w:pStyle w:val="872"/>
              <w:ind w:right="-108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структурные подразделения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2" w:type="dxa"/>
            <w:vAlign w:val="top"/>
            <w:textDirection w:val="lrTb"/>
            <w:noWrap w:val="false"/>
          </w:tcPr>
          <w:p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Исполнено.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Работа ведется.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8" w:type="dxa"/>
            <w:vAlign w:val="top"/>
            <w:textDirection w:val="lrTb"/>
            <w:noWrap w:val="false"/>
          </w:tcPr>
          <w:p>
            <w:pPr>
              <w:pStyle w:val="872"/>
              <w:ind w:left="-1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6406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keepLines/>
              <w:keepNext/>
              <w:rPr>
                <w:rFonts w:ascii="PT Astra Serif" w:hAnsi="PT Astra Serif" w:cs="PT Astra Serif"/>
                <w:iCs/>
                <w:sz w:val="24"/>
                <w:szCs w:val="24"/>
              </w:rPr>
              <w:suppressLineNumbers/>
            </w:pP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</w:rPr>
              <w:t xml:space="preserve">одействие в организационно-техничес</w:t>
            </w: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</w:rPr>
              <w:t xml:space="preserve">ком и документационном обеспечении деятельности комиссии Государственной ветеринарной службы Чувашской Республики по соблюдению требований к служебному поведению государственных гражданских служащих Чувашской Республики и урегулированию конфликта интересов</w:t>
            </w: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</w:r>
          </w:p>
          <w:p>
            <w:pPr>
              <w:pStyle w:val="872"/>
              <w:jc w:val="both"/>
              <w:keepLines/>
              <w:keepNext/>
              <w:rPr>
                <w:rFonts w:ascii="PT Astra Serif" w:hAnsi="PT Astra Serif" w:cs="PT Astra Serif"/>
                <w:iCs/>
                <w:sz w:val="24"/>
                <w:szCs w:val="24"/>
              </w:rPr>
              <w:suppressLineNumbers/>
            </w:pP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</w:rPr>
              <w:t xml:space="preserve">В том числе о</w:t>
            </w: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</w:rPr>
              <w:t xml:space="preserve">существлять и</w:t>
            </w: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</w:rPr>
              <w:t xml:space="preserve">нформирование </w:t>
            </w: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</w:rPr>
              <w:t xml:space="preserve">ее </w:t>
            </w: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</w:rPr>
              <w:t xml:space="preserve">членов о вопросах, включенных в повестку дня, о дате, времени и месте проведения заседания, ознакомление с материалами, представляемыми для обсуждения на заседании комиссии</w:t>
            </w: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926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течение года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vAlign w:val="top"/>
            <w:textDirection w:val="lrTb"/>
            <w:noWrap w:val="false"/>
          </w:tcPr>
          <w:p>
            <w:pPr>
              <w:pStyle w:val="872"/>
              <w:ind w:right="-108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</w:rPr>
              <w:t xml:space="preserve">отдел правового обеспечения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2" w:type="dxa"/>
            <w:vAlign w:val="top"/>
            <w:textDirection w:val="lrTb"/>
            <w:noWrap w:val="false"/>
          </w:tcPr>
          <w:p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Исполнено.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Работа ведется. В 2024 году проведено 2 заседания комиссии Государственной ветеринарной службы Чувашской Республики по соблюдению требований к служебному поведению государственных гражданских служащих Чувашской Республики и урегулированию конфликта интересо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8" w:type="dxa"/>
            <w:vAlign w:val="top"/>
            <w:textDirection w:val="lrTb"/>
            <w:noWrap w:val="false"/>
          </w:tcPr>
          <w:p>
            <w:pPr>
              <w:pStyle w:val="872"/>
              <w:ind w:left="-1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6406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keepLines/>
              <w:keepNext/>
              <w:rPr>
                <w:rFonts w:ascii="PT Astra Serif" w:hAnsi="PT Astra Serif" w:cs="PT Astra Serif"/>
                <w:iCs/>
                <w:sz w:val="24"/>
                <w:szCs w:val="24"/>
              </w:rPr>
              <w:suppressLineNumbers/>
            </w:pP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</w:rPr>
              <w:t xml:space="preserve">Размещение</w:t>
            </w: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</w:rPr>
              <w:t xml:space="preserve"> сведени</w:t>
            </w: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</w:rPr>
              <w:t xml:space="preserve"> о доходах, расходах, об имуществе и обязательс</w:t>
            </w: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</w:rPr>
              <w:t xml:space="preserve">твах имущественного характера руководителей подведомственных Службе организаций, их супруг (супругов) и несовершеннолетних детей на официальном сайте Службы на Портале органов власти Чувашской Республики в информационно-телекоммуникационной сети «Интернет»</w:t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926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течение года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vAlign w:val="top"/>
            <w:textDirection w:val="lrTb"/>
            <w:noWrap w:val="false"/>
          </w:tcPr>
          <w:p>
            <w:pPr>
              <w:pStyle w:val="872"/>
              <w:ind w:right="-108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</w:rPr>
              <w:t xml:space="preserve">отдел правового обеспечения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2" w:type="dxa"/>
            <w:vAlign w:val="top"/>
            <w:textDirection w:val="lrTb"/>
            <w:noWrap w:val="false"/>
          </w:tcPr>
          <w:p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Исполнено.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Работа ведется совместно с Администрацией Главы Чувашской Республики.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8" w:type="dxa"/>
            <w:vAlign w:val="top"/>
            <w:textDirection w:val="lrTb"/>
            <w:noWrap w:val="false"/>
          </w:tcPr>
          <w:p>
            <w:pPr>
              <w:pStyle w:val="872"/>
              <w:ind w:left="-1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6406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keepLines/>
              <w:keepNext/>
              <w:rPr>
                <w:rFonts w:ascii="PT Astra Serif" w:hAnsi="PT Astra Serif" w:cs="PT Astra Serif"/>
                <w:iCs/>
                <w:sz w:val="24"/>
                <w:szCs w:val="24"/>
              </w:rPr>
              <w:suppressLineNumbers/>
            </w:pP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</w:rPr>
              <w:t xml:space="preserve">Участие в мероприятиях по профессиональному развитию в области противодействия коррупции:</w:t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</w:r>
          </w:p>
          <w:p>
            <w:pPr>
              <w:pStyle w:val="872"/>
              <w:jc w:val="both"/>
              <w:keepLines/>
              <w:keepNext/>
              <w:rPr>
                <w:rFonts w:ascii="PT Astra Serif" w:hAnsi="PT Astra Serif" w:cs="PT Astra Serif"/>
                <w:iCs/>
                <w:sz w:val="24"/>
                <w:szCs w:val="24"/>
              </w:rPr>
              <w:suppressLineNumbers/>
            </w:pP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</w:rPr>
              <w:t xml:space="preserve">гражданских служащих, в должностные обязанности которых входит участие в противодействии коррупции; </w:t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</w:r>
          </w:p>
          <w:p>
            <w:pPr>
              <w:pStyle w:val="872"/>
              <w:jc w:val="both"/>
              <w:keepLines/>
              <w:keepNext/>
              <w:rPr>
                <w:rFonts w:ascii="PT Astra Serif" w:hAnsi="PT Astra Serif" w:cs="PT Astra Serif"/>
                <w:iCs/>
                <w:sz w:val="24"/>
                <w:szCs w:val="24"/>
              </w:rPr>
              <w:suppressLineNumbers/>
            </w:pP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</w:rPr>
              <w:t xml:space="preserve">лиц, впервые поступивших на гражданскую службу, и замещающих должности, связанные с соблюдением антикоррупционных стандартов;</w:t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</w:r>
          </w:p>
          <w:p>
            <w:pPr>
              <w:pStyle w:val="872"/>
              <w:jc w:val="both"/>
              <w:keepLines/>
              <w:keepNext/>
              <w:rPr>
                <w:rFonts w:ascii="PT Astra Serif" w:hAnsi="PT Astra Serif" w:cs="PT Astra Serif"/>
                <w:iCs/>
                <w:sz w:val="24"/>
                <w:szCs w:val="24"/>
              </w:rPr>
              <w:suppressLineNumbers/>
            </w:pP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</w:rPr>
              <w:t xml:space="preserve">гражданских служащих, в должностные обязанности которых входит участие в проведении закупок товаров, работ, услуг для обеспечения государственных (муниципальных) нужд</w:t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926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течение года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vAlign w:val="top"/>
            <w:textDirection w:val="lrTb"/>
            <w:noWrap w:val="false"/>
          </w:tcPr>
          <w:p>
            <w:pPr>
              <w:pStyle w:val="872"/>
              <w:ind w:right="-108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</w:rPr>
              <w:t xml:space="preserve">гражданские служащие</w:t>
            </w:r>
            <w:r>
              <w:rPr>
                <w:rFonts w:ascii="PT Astra Serif" w:hAnsi="PT Astra Serif" w:cs="PT Astra Serif"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2" w:type="dxa"/>
            <w:vAlign w:val="top"/>
            <w:textDirection w:val="lrTb"/>
            <w:noWrap w:val="false"/>
          </w:tcPr>
          <w:p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Исполнено.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Работа ведется совместно с Администрацией Главы Чувашской Республики.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8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ind w:left="-1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6406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both"/>
              <w:keepLines/>
              <w:keepNext/>
              <w:rPr>
                <w:rFonts w:ascii="PT Astra Serif" w:hAnsi="PT Astra Serif" w:cs="PT Astra Serif"/>
                <w:iCs/>
                <w:sz w:val="24"/>
                <w:szCs w:val="24"/>
              </w:rPr>
              <w:suppressLineNumbers/>
            </w:pP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</w:rPr>
              <w:t xml:space="preserve">Оказание содействия организациям, находящимся в ведении Службы по проведению мероприятий, направленных на противодействие коррупции</w:t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926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течение года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ind w:right="-108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</w:rPr>
              <w:t xml:space="preserve">отдел правового обеспечения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2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Исполнено.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Работа ведется. Проводится консультационная работа, доведение информации о действующем законодательстве в сфере противодействия коррупции, изменения в законодательство, проводятся рабочие совещания с руководителями подведомственных организаций.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</w:tr>
    </w:tbl>
    <w:p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sectPr>
      <w:headerReference w:type="default" r:id="rId9"/>
      <w:headerReference w:type="even" r:id="rId10"/>
      <w:footnotePr/>
      <w:endnotePr/>
      <w:type w:val="nextPage"/>
      <w:pgSz w:w="16834" w:h="11909" w:orient="landscape"/>
      <w:pgMar w:top="992" w:right="1134" w:bottom="851" w:left="1134" w:header="720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5"/>
      </w:rPr>
      <w:framePr w:wrap="around" w:vAnchor="text" w:hAnchor="margin" w:xAlign="center" w:y="1"/>
    </w:pPr>
    <w:r>
      <w:rPr>
        <w:rStyle w:val="885"/>
      </w:rPr>
    </w:r>
    <w:r>
      <w:rPr>
        <w:rStyle w:val="885"/>
      </w:rPr>
    </w:r>
    <w:r>
      <w:rPr>
        <w:rStyle w:val="885"/>
      </w:rPr>
    </w:r>
  </w:p>
  <w:p>
    <w:pPr>
      <w:pStyle w:val="884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5"/>
      </w:rPr>
      <w:framePr w:wrap="around" w:vAnchor="text" w:hAnchor="margin" w:xAlign="center" w:y="1"/>
    </w:pPr>
    <w:r>
      <w:rPr>
        <w:rStyle w:val="885"/>
      </w:rPr>
      <w:fldChar w:fldCharType="begin"/>
    </w:r>
    <w:r>
      <w:rPr>
        <w:rStyle w:val="885"/>
      </w:rPr>
      <w:instrText xml:space="preserve">PAGE  </w:instrText>
    </w:r>
    <w:r>
      <w:rPr>
        <w:rStyle w:val="885"/>
      </w:rPr>
      <w:fldChar w:fldCharType="end"/>
    </w:r>
    <w:r>
      <w:rPr>
        <w:rStyle w:val="885"/>
      </w:rPr>
    </w:r>
    <w:r>
      <w:rPr>
        <w:rStyle w:val="885"/>
      </w:rPr>
    </w:r>
  </w:p>
  <w:p>
    <w:pPr>
      <w:pStyle w:val="88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10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72"/>
    <w:next w:val="872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72"/>
    <w:next w:val="872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72"/>
    <w:next w:val="872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72"/>
    <w:next w:val="872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72"/>
    <w:next w:val="872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72"/>
    <w:next w:val="872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72"/>
    <w:next w:val="872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872"/>
    <w:uiPriority w:val="34"/>
    <w:qFormat/>
    <w:pPr>
      <w:contextualSpacing/>
      <w:ind w:left="720"/>
    </w:pPr>
  </w:style>
  <w:style w:type="paragraph" w:styleId="713">
    <w:name w:val="No Spacing"/>
    <w:uiPriority w:val="1"/>
    <w:qFormat/>
    <w:pPr>
      <w:spacing w:before="0" w:after="0" w:line="240" w:lineRule="auto"/>
    </w:pPr>
  </w:style>
  <w:style w:type="paragraph" w:styleId="714">
    <w:name w:val="Title"/>
    <w:basedOn w:val="872"/>
    <w:next w:val="872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>
    <w:name w:val="Title Char"/>
    <w:link w:val="714"/>
    <w:uiPriority w:val="10"/>
    <w:rPr>
      <w:sz w:val="48"/>
      <w:szCs w:val="48"/>
    </w:rPr>
  </w:style>
  <w:style w:type="paragraph" w:styleId="716">
    <w:name w:val="Subtitle"/>
    <w:basedOn w:val="872"/>
    <w:next w:val="872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link w:val="716"/>
    <w:uiPriority w:val="11"/>
    <w:rPr>
      <w:sz w:val="24"/>
      <w:szCs w:val="24"/>
    </w:rPr>
  </w:style>
  <w:style w:type="paragraph" w:styleId="718">
    <w:name w:val="Quote"/>
    <w:basedOn w:val="872"/>
    <w:next w:val="872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2"/>
    <w:next w:val="872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2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link w:val="722"/>
    <w:uiPriority w:val="99"/>
  </w:style>
  <w:style w:type="paragraph" w:styleId="724">
    <w:name w:val="Footer"/>
    <w:basedOn w:val="872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link w:val="724"/>
    <w:uiPriority w:val="99"/>
  </w:style>
  <w:style w:type="paragraph" w:styleId="726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next w:val="872"/>
    <w:link w:val="872"/>
    <w:qFormat/>
    <w:rPr>
      <w:sz w:val="24"/>
      <w:szCs w:val="24"/>
      <w:lang w:val="ru-RU" w:eastAsia="ru-RU" w:bidi="ar-SA"/>
    </w:rPr>
  </w:style>
  <w:style w:type="paragraph" w:styleId="873">
    <w:name w:val="Заголовок 1"/>
    <w:basedOn w:val="872"/>
    <w:next w:val="872"/>
    <w:link w:val="872"/>
    <w:qFormat/>
    <w:pPr>
      <w:jc w:val="center"/>
      <w:keepNext/>
      <w:spacing w:before="120"/>
      <w:outlineLvl w:val="0"/>
    </w:pPr>
    <w:rPr>
      <w:sz w:val="28"/>
    </w:rPr>
  </w:style>
  <w:style w:type="paragraph" w:styleId="874">
    <w:name w:val="Заголовок 2"/>
    <w:basedOn w:val="872"/>
    <w:next w:val="872"/>
    <w:link w:val="872"/>
    <w:qFormat/>
    <w:pPr>
      <w:keepNext/>
      <w:spacing w:line="280" w:lineRule="exact"/>
      <w:outlineLvl w:val="1"/>
    </w:pPr>
    <w:rPr>
      <w:b/>
      <w:bCs/>
      <w:sz w:val="20"/>
    </w:rPr>
  </w:style>
  <w:style w:type="paragraph" w:styleId="875">
    <w:name w:val="Заголовок 3"/>
    <w:basedOn w:val="872"/>
    <w:next w:val="872"/>
    <w:link w:val="872"/>
    <w:qFormat/>
    <w:pPr>
      <w:jc w:val="center"/>
      <w:keepNext/>
      <w:outlineLvl w:val="2"/>
    </w:pPr>
    <w:rPr>
      <w:b/>
      <w:bCs/>
    </w:rPr>
  </w:style>
  <w:style w:type="paragraph" w:styleId="876">
    <w:name w:val="Заголовок 4"/>
    <w:basedOn w:val="872"/>
    <w:next w:val="872"/>
    <w:link w:val="872"/>
    <w:qFormat/>
    <w:pPr>
      <w:jc w:val="center"/>
      <w:keepNext/>
      <w:outlineLvl w:val="3"/>
    </w:pPr>
    <w:rPr>
      <w:b/>
      <w:bCs/>
      <w:spacing w:val="80"/>
      <w:sz w:val="28"/>
    </w:rPr>
  </w:style>
  <w:style w:type="paragraph" w:styleId="877">
    <w:name w:val="Заголовок 5"/>
    <w:basedOn w:val="872"/>
    <w:next w:val="872"/>
    <w:link w:val="872"/>
    <w:qFormat/>
    <w:pPr>
      <w:jc w:val="center"/>
      <w:keepNext/>
      <w:outlineLvl w:val="4"/>
    </w:pPr>
    <w:rPr>
      <w:b/>
      <w:bCs/>
      <w:spacing w:val="100"/>
      <w:sz w:val="32"/>
    </w:rPr>
  </w:style>
  <w:style w:type="character" w:styleId="878">
    <w:name w:val="Основной шрифт абзаца"/>
    <w:next w:val="878"/>
    <w:link w:val="872"/>
    <w:semiHidden/>
  </w:style>
  <w:style w:type="table" w:styleId="879">
    <w:name w:val="Обычная таблица"/>
    <w:next w:val="879"/>
    <w:link w:val="872"/>
    <w:semiHidden/>
    <w:tblPr/>
  </w:style>
  <w:style w:type="numbering" w:styleId="880">
    <w:name w:val="Нет списка"/>
    <w:next w:val="880"/>
    <w:link w:val="872"/>
    <w:semiHidden/>
  </w:style>
  <w:style w:type="paragraph" w:styleId="881">
    <w:name w:val="Основной текст"/>
    <w:basedOn w:val="872"/>
    <w:next w:val="881"/>
    <w:link w:val="872"/>
    <w:pPr>
      <w:jc w:val="center"/>
      <w:spacing w:before="120"/>
    </w:pPr>
    <w:rPr>
      <w:sz w:val="28"/>
    </w:rPr>
  </w:style>
  <w:style w:type="paragraph" w:styleId="882">
    <w:name w:val="Основной текст 2"/>
    <w:basedOn w:val="872"/>
    <w:next w:val="882"/>
    <w:link w:val="901"/>
    <w:pPr>
      <w:jc w:val="center"/>
    </w:pPr>
    <w:rPr>
      <w:b/>
      <w:bCs/>
      <w:sz w:val="28"/>
    </w:rPr>
  </w:style>
  <w:style w:type="paragraph" w:styleId="883">
    <w:name w:val="Основной текст с отступом"/>
    <w:basedOn w:val="872"/>
    <w:next w:val="883"/>
    <w:link w:val="872"/>
    <w:pPr>
      <w:ind w:firstLine="705"/>
      <w:jc w:val="both"/>
    </w:pPr>
    <w:rPr>
      <w:sz w:val="28"/>
    </w:rPr>
  </w:style>
  <w:style w:type="paragraph" w:styleId="884">
    <w:name w:val="Верхний колонтитул"/>
    <w:basedOn w:val="872"/>
    <w:next w:val="884"/>
    <w:link w:val="872"/>
    <w:pPr>
      <w:tabs>
        <w:tab w:val="center" w:pos="4677" w:leader="none"/>
        <w:tab w:val="right" w:pos="9355" w:leader="none"/>
      </w:tabs>
    </w:pPr>
  </w:style>
  <w:style w:type="character" w:styleId="885">
    <w:name w:val="Номер страницы"/>
    <w:basedOn w:val="878"/>
    <w:next w:val="885"/>
    <w:link w:val="872"/>
  </w:style>
  <w:style w:type="paragraph" w:styleId="886">
    <w:name w:val="Основной текст 3"/>
    <w:basedOn w:val="872"/>
    <w:next w:val="886"/>
    <w:link w:val="872"/>
    <w:pPr>
      <w:jc w:val="both"/>
      <w:spacing w:line="312" w:lineRule="auto"/>
    </w:pPr>
    <w:rPr>
      <w:sz w:val="28"/>
    </w:rPr>
  </w:style>
  <w:style w:type="paragraph" w:styleId="887">
    <w:name w:val="Текст выноски"/>
    <w:basedOn w:val="872"/>
    <w:next w:val="887"/>
    <w:link w:val="872"/>
    <w:semiHidden/>
    <w:rPr>
      <w:rFonts w:ascii="Tahoma" w:hAnsi="Tahoma" w:cs="Tahoma"/>
      <w:sz w:val="16"/>
      <w:szCs w:val="16"/>
    </w:rPr>
  </w:style>
  <w:style w:type="character" w:styleId="888">
    <w:name w:val="title1"/>
    <w:next w:val="888"/>
    <w:link w:val="872"/>
    <w:rPr>
      <w:b/>
      <w:bCs/>
      <w:color w:val="00367c"/>
    </w:rPr>
  </w:style>
  <w:style w:type="paragraph" w:styleId="889">
    <w:name w:val="Нижний колонтитул"/>
    <w:basedOn w:val="872"/>
    <w:next w:val="889"/>
    <w:link w:val="872"/>
    <w:pPr>
      <w:tabs>
        <w:tab w:val="center" w:pos="4677" w:leader="none"/>
        <w:tab w:val="right" w:pos="9355" w:leader="none"/>
      </w:tabs>
    </w:pPr>
  </w:style>
  <w:style w:type="paragraph" w:styleId="890">
    <w:name w:val="ConsPlusNormal"/>
    <w:next w:val="890"/>
    <w:link w:val="897"/>
    <w:pPr>
      <w:ind w:firstLine="720"/>
    </w:pPr>
    <w:rPr>
      <w:rFonts w:ascii="Arial" w:hAnsi="Arial" w:cs="Arial"/>
      <w:lang w:val="ru-RU" w:eastAsia="ru-RU" w:bidi="ar-SA"/>
    </w:rPr>
  </w:style>
  <w:style w:type="paragraph" w:styleId="891">
    <w:name w:val="Обычный (веб)"/>
    <w:basedOn w:val="872"/>
    <w:next w:val="891"/>
    <w:link w:val="872"/>
    <w:semiHidden/>
    <w:pPr>
      <w:spacing w:before="100" w:beforeAutospacing="1" w:after="100" w:afterAutospacing="1"/>
    </w:pPr>
    <w:rPr>
      <w:rFonts w:eastAsia="Calibri"/>
    </w:rPr>
  </w:style>
  <w:style w:type="paragraph" w:styleId="892">
    <w:name w:val="Текст сноски"/>
    <w:basedOn w:val="872"/>
    <w:next w:val="892"/>
    <w:link w:val="872"/>
    <w:semiHidden/>
    <w:rPr>
      <w:sz w:val="20"/>
      <w:szCs w:val="20"/>
    </w:rPr>
  </w:style>
  <w:style w:type="character" w:styleId="893">
    <w:name w:val="Знак сноски"/>
    <w:next w:val="893"/>
    <w:link w:val="872"/>
    <w:semiHidden/>
    <w:rPr>
      <w:vertAlign w:val="superscript"/>
    </w:rPr>
  </w:style>
  <w:style w:type="character" w:styleId="894">
    <w:name w:val="Цветовое выделение"/>
    <w:next w:val="894"/>
    <w:link w:val="872"/>
    <w:rPr>
      <w:b/>
      <w:color w:val="000080"/>
      <w:sz w:val="18"/>
    </w:rPr>
  </w:style>
  <w:style w:type="character" w:styleId="895">
    <w:name w:val="Гипертекстовая ссылка"/>
    <w:next w:val="895"/>
    <w:link w:val="872"/>
    <w:rPr>
      <w:rFonts w:cs="Times New Roman"/>
      <w:b/>
      <w:color w:val="008000"/>
      <w:sz w:val="18"/>
      <w:szCs w:val="18"/>
    </w:rPr>
  </w:style>
  <w:style w:type="table" w:styleId="896">
    <w:name w:val="Сетка таблицы"/>
    <w:basedOn w:val="879"/>
    <w:next w:val="896"/>
    <w:link w:val="872"/>
    <w:pPr>
      <w:ind w:firstLine="720"/>
      <w:jc w:val="both"/>
      <w:widowControl w:val="off"/>
    </w:pPr>
    <w:rPr>
      <w:lang w:bidi="ar-SA"/>
    </w:rPr>
    <w:tblPr/>
  </w:style>
  <w:style w:type="character" w:styleId="897">
    <w:name w:val="ConsPlusNormal Знак"/>
    <w:next w:val="897"/>
    <w:link w:val="890"/>
    <w:rPr>
      <w:rFonts w:ascii="Arial" w:hAnsi="Arial" w:cs="Arial"/>
      <w:lang w:val="ru-RU" w:eastAsia="ru-RU" w:bidi="ar-SA"/>
    </w:rPr>
  </w:style>
  <w:style w:type="paragraph" w:styleId="898">
    <w:name w:val="ConsPlusNonformat"/>
    <w:next w:val="898"/>
    <w:link w:val="872"/>
    <w:rPr>
      <w:rFonts w:ascii="Courier New" w:hAnsi="Courier New" w:cs="Courier New"/>
      <w:lang w:val="ru-RU" w:eastAsia="ru-RU" w:bidi="ar-SA"/>
    </w:rPr>
  </w:style>
  <w:style w:type="paragraph" w:styleId="899">
    <w:name w:val="ConsPlusTitle"/>
    <w:next w:val="899"/>
    <w:link w:val="872"/>
    <w:rPr>
      <w:rFonts w:ascii="Arial" w:hAnsi="Arial" w:cs="Arial"/>
      <w:b/>
      <w:bCs/>
      <w:lang w:val="ru-RU" w:eastAsia="ru-RU" w:bidi="ar-SA"/>
    </w:rPr>
  </w:style>
  <w:style w:type="character" w:styleId="900">
    <w:name w:val="Гиперссылка"/>
    <w:next w:val="900"/>
    <w:link w:val="872"/>
    <w:rPr>
      <w:color w:val="0000ff"/>
      <w:u w:val="single"/>
    </w:rPr>
  </w:style>
  <w:style w:type="character" w:styleId="901">
    <w:name w:val="Основной текст 2 Знак"/>
    <w:next w:val="901"/>
    <w:link w:val="882"/>
    <w:rPr>
      <w:b/>
      <w:bCs/>
      <w:sz w:val="28"/>
      <w:szCs w:val="24"/>
    </w:rPr>
  </w:style>
  <w:style w:type="character" w:styleId="902" w:default="1">
    <w:name w:val="Default Paragraph Font"/>
    <w:uiPriority w:val="1"/>
    <w:semiHidden/>
    <w:unhideWhenUsed/>
  </w:style>
  <w:style w:type="numbering" w:styleId="903" w:default="1">
    <w:name w:val="No List"/>
    <w:uiPriority w:val="99"/>
    <w:semiHidden/>
    <w:unhideWhenUsed/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ГВЦ Минтранса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ЛБ</dc:creator>
  <cp:revision>8</cp:revision>
  <dcterms:created xsi:type="dcterms:W3CDTF">2022-03-28T11:01:00Z</dcterms:created>
  <dcterms:modified xsi:type="dcterms:W3CDTF">2025-01-15T06:20:42Z</dcterms:modified>
  <cp:version>917504</cp:version>
</cp:coreProperties>
</file>