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95" w:rsidRPr="003F5595" w:rsidRDefault="003F5595" w:rsidP="003F5595">
      <w:pPr>
        <w:shd w:val="clear" w:color="auto" w:fill="F0E9D3"/>
        <w:spacing w:before="240" w:after="240" w:line="240" w:lineRule="auto"/>
        <w:jc w:val="both"/>
        <w:rPr>
          <w:rFonts w:ascii="Times New Roman" w:eastAsia="Times New Roman" w:hAnsi="Times New Roman" w:cs="Times New Roman"/>
          <w:color w:val="464C55"/>
          <w:sz w:val="26"/>
          <w:szCs w:val="26"/>
          <w:lang w:eastAsia="ru-RU"/>
        </w:rPr>
      </w:pPr>
      <w:r w:rsidRPr="003F5595">
        <w:rPr>
          <w:rFonts w:ascii="Times New Roman" w:eastAsia="Times New Roman" w:hAnsi="Times New Roman" w:cs="Times New Roman"/>
          <w:b/>
          <w:bCs/>
          <w:color w:val="464C55"/>
          <w:sz w:val="26"/>
          <w:szCs w:val="26"/>
          <w:lang w:eastAsia="ru-RU"/>
        </w:rPr>
        <w:t>Примирительные процедуры в ГПК, АПК и КАС: что изменилось?</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25 октября 2019 года вступили в силу поправки в </w:t>
      </w:r>
      <w:hyperlink r:id="rId4" w:anchor="/document/12127526/entry/0" w:history="1">
        <w:r w:rsidRPr="003F5595">
          <w:rPr>
            <w:rFonts w:ascii="Times New Roman" w:eastAsia="Times New Roman" w:hAnsi="Times New Roman" w:cs="Times New Roman"/>
            <w:sz w:val="26"/>
            <w:szCs w:val="26"/>
            <w:lang w:eastAsia="ru-RU"/>
          </w:rPr>
          <w:t>АПК</w:t>
        </w:r>
      </w:hyperlink>
      <w:r w:rsidRPr="003F5595">
        <w:rPr>
          <w:rFonts w:ascii="Times New Roman" w:eastAsia="Times New Roman" w:hAnsi="Times New Roman" w:cs="Times New Roman"/>
          <w:sz w:val="26"/>
          <w:szCs w:val="26"/>
          <w:lang w:eastAsia="ru-RU"/>
        </w:rPr>
        <w:t> РФ, </w:t>
      </w:r>
      <w:hyperlink r:id="rId5" w:anchor="/document/12128809/entry/0" w:history="1">
        <w:r w:rsidRPr="003F5595">
          <w:rPr>
            <w:rFonts w:ascii="Times New Roman" w:eastAsia="Times New Roman" w:hAnsi="Times New Roman" w:cs="Times New Roman"/>
            <w:sz w:val="26"/>
            <w:szCs w:val="26"/>
            <w:lang w:eastAsia="ru-RU"/>
          </w:rPr>
          <w:t>ГПК</w:t>
        </w:r>
      </w:hyperlink>
      <w:r w:rsidRPr="003F5595">
        <w:rPr>
          <w:rFonts w:ascii="Times New Roman" w:eastAsia="Times New Roman" w:hAnsi="Times New Roman" w:cs="Times New Roman"/>
          <w:sz w:val="26"/>
          <w:szCs w:val="26"/>
          <w:lang w:eastAsia="ru-RU"/>
        </w:rPr>
        <w:t> РФ и </w:t>
      </w:r>
      <w:hyperlink r:id="rId6" w:anchor="/document/70885220/entry/0" w:history="1">
        <w:r w:rsidRPr="003F5595">
          <w:rPr>
            <w:rFonts w:ascii="Times New Roman" w:eastAsia="Times New Roman" w:hAnsi="Times New Roman" w:cs="Times New Roman"/>
            <w:sz w:val="26"/>
            <w:szCs w:val="26"/>
            <w:lang w:eastAsia="ru-RU"/>
          </w:rPr>
          <w:t>КАС</w:t>
        </w:r>
      </w:hyperlink>
      <w:r w:rsidRPr="003F5595">
        <w:rPr>
          <w:rFonts w:ascii="Times New Roman" w:eastAsia="Times New Roman" w:hAnsi="Times New Roman" w:cs="Times New Roman"/>
          <w:sz w:val="26"/>
          <w:szCs w:val="26"/>
          <w:lang w:eastAsia="ru-RU"/>
        </w:rPr>
        <w:t> РФ,</w:t>
      </w:r>
      <w:r w:rsidRPr="003F5595">
        <w:rPr>
          <w:rFonts w:ascii="Times New Roman" w:eastAsia="Times New Roman" w:hAnsi="Times New Roman" w:cs="Times New Roman"/>
          <w:color w:val="22272F"/>
          <w:sz w:val="26"/>
          <w:szCs w:val="26"/>
          <w:lang w:eastAsia="ru-RU"/>
        </w:rPr>
        <w:t xml:space="preserve"> касающиеся примирительных процедур. Помимо уже известной процедуры медиации, к видам примирительных процедур теперь отнесены переговоры и судебное примирение. Не запрещено использовать и другие примирительные процедуры при условии, что это не противоречит федеральному закону.</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Порядок проведения судебного примирения и требования к судебному примирителю определит ВС РФ в соответствующем регламенте. Его проект обсуждался 22.10.2019 на заседании Пленума ВС РФ, но был направлен на доработку. В качестве судебных примирителей будут выступать судьи в отставке, включенные в утверждаемый Пленумом ВС РФ список (пока он не утвержден). Условия переговоров будут определяться самими сторонами.</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Предусмотрено, что примирение осуществляется по ходатайству сторон либо по предложению суда и по общему правилу возможно на любой стадии рассмотрения дела, а также при исполнении судебного акта.</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Результатами примирения могут быть мировое соглашение в отношении всех или части заявленных требований, частичный или полный отказ от иска, от апелляционной, кассационной жалобы, надзорной жалобы (представления), частичное или полное признание иска, признание обстоятельств, на которых другая сторона основывает свои требования или возражения, соглашение по обстоятельствам дела и подписание письма-согласия на государственную регистрацию товарного знака.</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Изменения затронули и ряд норм, посвященных мировому соглашению. В частности, теперь третьи лица, не заявляющие самостоятельных требований, вправе выступать участниками мирового соглашения в случаях, если по условиям этого соглашения они приобретают права либо на них возлагаются обязанности.</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А за нотариально удостоверенным медиативным соглашением, достигнутым сторонами без передачи спора на рассмотрение суда, признана сила исполнительного документа.</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В исковых заявлениях теперь нужно указывать сведения о предпринятых стороной (сторонами) действиях, направленных на примирение, если такие действия предпринимались, а в отзыве на исковое заявление в арбитражном процессе - еще и мнение ответчика о возможности примирения сторон.</w:t>
      </w:r>
    </w:p>
    <w:p w:rsidR="003F5595" w:rsidRPr="003F5595" w:rsidRDefault="003F5595" w:rsidP="003F5595">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3F5595">
        <w:rPr>
          <w:rFonts w:ascii="Times New Roman" w:eastAsia="Times New Roman" w:hAnsi="Times New Roman" w:cs="Times New Roman"/>
          <w:color w:val="22272F"/>
          <w:sz w:val="26"/>
          <w:szCs w:val="26"/>
          <w:lang w:eastAsia="ru-RU"/>
        </w:rPr>
        <w:t>Также 25 октября 2019 года вступили в силу </w:t>
      </w:r>
      <w:hyperlink r:id="rId7" w:anchor="/document/72330034/entry/0" w:history="1">
        <w:r w:rsidRPr="003F5595">
          <w:rPr>
            <w:rFonts w:ascii="Times New Roman" w:eastAsia="Times New Roman" w:hAnsi="Times New Roman" w:cs="Times New Roman"/>
            <w:sz w:val="26"/>
            <w:szCs w:val="26"/>
            <w:lang w:eastAsia="ru-RU"/>
          </w:rPr>
          <w:t>изменения</w:t>
        </w:r>
      </w:hyperlink>
      <w:r w:rsidRPr="003F5595">
        <w:rPr>
          <w:rFonts w:ascii="Times New Roman" w:eastAsia="Times New Roman" w:hAnsi="Times New Roman" w:cs="Times New Roman"/>
          <w:sz w:val="26"/>
          <w:szCs w:val="26"/>
          <w:lang w:eastAsia="ru-RU"/>
        </w:rPr>
        <w:t xml:space="preserve"> в НК РФ, которые, по мнению законодателя, будут дополнительно стимулировать стороны к использованию примирительных процедур. </w:t>
      </w:r>
      <w:proofErr w:type="gramStart"/>
      <w:r w:rsidRPr="003F5595">
        <w:rPr>
          <w:rFonts w:ascii="Times New Roman" w:eastAsia="Times New Roman" w:hAnsi="Times New Roman" w:cs="Times New Roman"/>
          <w:sz w:val="26"/>
          <w:szCs w:val="26"/>
          <w:lang w:eastAsia="ru-RU"/>
        </w:rPr>
        <w:t>Так, в </w:t>
      </w:r>
      <w:proofErr w:type="spellStart"/>
      <w:r w:rsidR="0046097B" w:rsidRPr="003F5595">
        <w:rPr>
          <w:rFonts w:ascii="Times New Roman" w:eastAsia="Times New Roman" w:hAnsi="Times New Roman" w:cs="Times New Roman"/>
          <w:sz w:val="26"/>
          <w:szCs w:val="26"/>
          <w:lang w:eastAsia="ru-RU"/>
        </w:rPr>
        <w:fldChar w:fldCharType="begin"/>
      </w:r>
      <w:r w:rsidRPr="003F5595">
        <w:rPr>
          <w:rFonts w:ascii="Times New Roman" w:eastAsia="Times New Roman" w:hAnsi="Times New Roman" w:cs="Times New Roman"/>
          <w:sz w:val="26"/>
          <w:szCs w:val="26"/>
          <w:lang w:eastAsia="ru-RU"/>
        </w:rPr>
        <w:instrText xml:space="preserve"> HYPERLINK "http://garant-01.op.ru/" \l "/document/10900200/entry/333401032" </w:instrText>
      </w:r>
      <w:r w:rsidR="0046097B" w:rsidRPr="003F5595">
        <w:rPr>
          <w:rFonts w:ascii="Times New Roman" w:eastAsia="Times New Roman" w:hAnsi="Times New Roman" w:cs="Times New Roman"/>
          <w:sz w:val="26"/>
          <w:szCs w:val="26"/>
          <w:lang w:eastAsia="ru-RU"/>
        </w:rPr>
        <w:fldChar w:fldCharType="separate"/>
      </w:r>
      <w:r w:rsidRPr="003F5595">
        <w:rPr>
          <w:rFonts w:ascii="Times New Roman" w:eastAsia="Times New Roman" w:hAnsi="Times New Roman" w:cs="Times New Roman"/>
          <w:sz w:val="26"/>
          <w:szCs w:val="26"/>
          <w:lang w:eastAsia="ru-RU"/>
        </w:rPr>
        <w:t>пп</w:t>
      </w:r>
      <w:proofErr w:type="spellEnd"/>
      <w:r w:rsidRPr="003F5595">
        <w:rPr>
          <w:rFonts w:ascii="Times New Roman" w:eastAsia="Times New Roman" w:hAnsi="Times New Roman" w:cs="Times New Roman"/>
          <w:sz w:val="26"/>
          <w:szCs w:val="26"/>
          <w:lang w:eastAsia="ru-RU"/>
        </w:rPr>
        <w:t>. 3 п. 1 ст. 333.40</w:t>
      </w:r>
      <w:r w:rsidR="0046097B" w:rsidRPr="003F5595">
        <w:rPr>
          <w:rFonts w:ascii="Times New Roman" w:eastAsia="Times New Roman" w:hAnsi="Times New Roman" w:cs="Times New Roman"/>
          <w:sz w:val="26"/>
          <w:szCs w:val="26"/>
          <w:lang w:eastAsia="ru-RU"/>
        </w:rPr>
        <w:fldChar w:fldCharType="end"/>
      </w:r>
      <w:r w:rsidRPr="003F5595">
        <w:rPr>
          <w:rFonts w:ascii="Times New Roman" w:eastAsia="Times New Roman" w:hAnsi="Times New Roman" w:cs="Times New Roman"/>
          <w:color w:val="22272F"/>
          <w:sz w:val="26"/>
          <w:szCs w:val="26"/>
          <w:lang w:eastAsia="ru-RU"/>
        </w:rPr>
        <w:t> Кодекса теперь предусмотрено, что при заключении мирового соглашения (соглашения о примирении), отказе истца (административного истца) от иска, признании ответчиком (административным ответчиком) иска (в том числе по результатам проведения примирительных процедур) до принятия решения судом первой инстанции истцу возвращается 70% уплаченной им госпошлины, на стадии рассмотрения дела судом апелляционной инстанции - 50%, на стадии</w:t>
      </w:r>
      <w:proofErr w:type="gramEnd"/>
      <w:r w:rsidRPr="003F5595">
        <w:rPr>
          <w:rFonts w:ascii="Times New Roman" w:eastAsia="Times New Roman" w:hAnsi="Times New Roman" w:cs="Times New Roman"/>
          <w:color w:val="22272F"/>
          <w:sz w:val="26"/>
          <w:szCs w:val="26"/>
          <w:lang w:eastAsia="ru-RU"/>
        </w:rPr>
        <w:t xml:space="preserve"> рассмотрения дела судом кассационной инстанции, пересмотра судебных актов в порядке надзора - 30%. А правило о том, что госпошлина не подлежит возврату при утверждении мирового соглашения, соглашения о примирении Верховным Судом РФ, судом общей юрисдикции, </w:t>
      </w:r>
      <w:hyperlink r:id="rId8" w:anchor="/document/72330034/entry/12" w:history="1">
        <w:r w:rsidRPr="003F5595">
          <w:rPr>
            <w:rFonts w:ascii="Times New Roman" w:eastAsia="Times New Roman" w:hAnsi="Times New Roman" w:cs="Times New Roman"/>
            <w:sz w:val="26"/>
            <w:szCs w:val="26"/>
            <w:lang w:eastAsia="ru-RU"/>
          </w:rPr>
          <w:t>исключено</w:t>
        </w:r>
      </w:hyperlink>
      <w:r w:rsidRPr="003F5595">
        <w:rPr>
          <w:rFonts w:ascii="Times New Roman" w:eastAsia="Times New Roman" w:hAnsi="Times New Roman" w:cs="Times New Roman"/>
          <w:sz w:val="26"/>
          <w:szCs w:val="26"/>
          <w:lang w:eastAsia="ru-RU"/>
        </w:rPr>
        <w:t>.</w:t>
      </w:r>
    </w:p>
    <w:p w:rsidR="006B730F" w:rsidRPr="003F5595" w:rsidRDefault="006B730F">
      <w:pPr>
        <w:rPr>
          <w:sz w:val="26"/>
          <w:szCs w:val="26"/>
        </w:rPr>
      </w:pPr>
    </w:p>
    <w:sectPr w:rsidR="006B730F" w:rsidRPr="003F5595" w:rsidSect="003F5595">
      <w:pgSz w:w="11906" w:h="16838"/>
      <w:pgMar w:top="1134"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162"/>
    <w:rsid w:val="00225BB8"/>
    <w:rsid w:val="003F5595"/>
    <w:rsid w:val="00400162"/>
    <w:rsid w:val="0046097B"/>
    <w:rsid w:val="006B730F"/>
    <w:rsid w:val="00A92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3F5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F5595"/>
  </w:style>
  <w:style w:type="paragraph" w:customStyle="1" w:styleId="s1">
    <w:name w:val="s_1"/>
    <w:basedOn w:val="a"/>
    <w:rsid w:val="003F5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5595"/>
    <w:rPr>
      <w:color w:val="0000FF"/>
      <w:u w:val="single"/>
    </w:rPr>
  </w:style>
  <w:style w:type="paragraph" w:customStyle="1" w:styleId="s16">
    <w:name w:val="s_16"/>
    <w:basedOn w:val="a"/>
    <w:rsid w:val="003F5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F5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55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55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786381">
      <w:bodyDiv w:val="1"/>
      <w:marLeft w:val="0"/>
      <w:marRight w:val="0"/>
      <w:marTop w:val="0"/>
      <w:marBottom w:val="0"/>
      <w:divBdr>
        <w:top w:val="none" w:sz="0" w:space="0" w:color="auto"/>
        <w:left w:val="none" w:sz="0" w:space="0" w:color="auto"/>
        <w:bottom w:val="none" w:sz="0" w:space="0" w:color="auto"/>
        <w:right w:val="none" w:sz="0" w:space="0" w:color="auto"/>
      </w:divBdr>
      <w:divsChild>
        <w:div w:id="366832744">
          <w:marLeft w:val="0"/>
          <w:marRight w:val="0"/>
          <w:marTop w:val="0"/>
          <w:marBottom w:val="0"/>
          <w:divBdr>
            <w:top w:val="none" w:sz="0" w:space="0" w:color="auto"/>
            <w:left w:val="none" w:sz="0" w:space="0" w:color="auto"/>
            <w:bottom w:val="none" w:sz="0" w:space="0" w:color="auto"/>
            <w:right w:val="none" w:sz="0" w:space="0" w:color="auto"/>
          </w:divBdr>
        </w:div>
        <w:div w:id="1117914970">
          <w:marLeft w:val="0"/>
          <w:marRight w:val="0"/>
          <w:marTop w:val="0"/>
          <w:marBottom w:val="0"/>
          <w:divBdr>
            <w:top w:val="none" w:sz="0" w:space="0" w:color="auto"/>
            <w:left w:val="none" w:sz="0" w:space="0" w:color="auto"/>
            <w:bottom w:val="none" w:sz="0" w:space="0" w:color="auto"/>
            <w:right w:val="none" w:sz="0" w:space="0" w:color="auto"/>
          </w:divBdr>
        </w:div>
        <w:div w:id="325785263">
          <w:marLeft w:val="0"/>
          <w:marRight w:val="0"/>
          <w:marTop w:val="0"/>
          <w:marBottom w:val="0"/>
          <w:divBdr>
            <w:top w:val="none" w:sz="0" w:space="0" w:color="auto"/>
            <w:left w:val="none" w:sz="0" w:space="0" w:color="auto"/>
            <w:bottom w:val="none" w:sz="0" w:space="0" w:color="auto"/>
            <w:right w:val="none" w:sz="0" w:space="0" w:color="auto"/>
          </w:divBdr>
        </w:div>
        <w:div w:id="123450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webSettings" Target="webSettings.xml"/><Relationship Id="rId7" Type="http://schemas.openxmlformats.org/officeDocument/2006/relationships/hyperlink" Target="http://garant-01.o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01.op.ru/" TargetMode="External"/><Relationship Id="rId5" Type="http://schemas.openxmlformats.org/officeDocument/2006/relationships/hyperlink" Target="http://garant-01.op.ru/" TargetMode="External"/><Relationship Id="rId10" Type="http://schemas.openxmlformats.org/officeDocument/2006/relationships/theme" Target="theme/theme1.xml"/><Relationship Id="rId4" Type="http://schemas.openxmlformats.org/officeDocument/2006/relationships/hyperlink" Target="http://garant-01.op.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Urazgildin</cp:lastModifiedBy>
  <cp:revision>3</cp:revision>
  <cp:lastPrinted>2019-11-08T13:51:00Z</cp:lastPrinted>
  <dcterms:created xsi:type="dcterms:W3CDTF">2019-11-08T13:51:00Z</dcterms:created>
  <dcterms:modified xsi:type="dcterms:W3CDTF">2023-03-01T17:09:00Z</dcterms:modified>
</cp:coreProperties>
</file>