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9" w:rsidRDefault="009D4529">
      <w:pPr>
        <w:pStyle w:val="af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32549" w:rsidRDefault="009D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оценке фактического воздействия постановления Кабинета Министров </w:t>
      </w:r>
    </w:p>
    <w:p w:rsidR="00B32549" w:rsidRDefault="009D452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Чувашской Республики  от 11 марта 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</w:t>
      </w:r>
    </w:p>
    <w:p w:rsidR="00B32549" w:rsidRDefault="00B3254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B32549" w:rsidRDefault="009D4529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B32549" w:rsidRDefault="009D4529">
      <w:pPr>
        <w:pStyle w:val="af2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 нормативного  правового  акта  Чувашской Республики (далее  -  нормативный  правовой  акт).  Реквизиты и источники официального опубликования  нормативного  правового  акта:  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Кабинета Министров Чувашской Республики постановления Кабинета Министров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11 марта 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 (далее – постановление Кабинета Министров Чувашской Республики № 103).</w:t>
      </w:r>
    </w:p>
    <w:p w:rsidR="00B32549" w:rsidRPr="004F6575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на Портале органов власти Чувашской Республики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 11 марта  2020 г.  </w:t>
      </w:r>
      <w:hyperlink r:id="rId9" w:tooltip="&lt;div class=&quot;doc www&quot;&gt;&lt;span class=&quot;aligner&quot;&gt;&lt;div class=&quot;icon listDocWWW-16&quot;&gt;&lt;/div&gt;&lt;/span&gt;http://www.cap.ru&lt;/div&gt;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http://www.cap.ru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49" w:rsidRDefault="00B32549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1.2. Сведения  о  внесенных в нормативный  правовой  акт изменениях (при наличии) (в том числе вид, дата, номер, наименование, источник официального опубликования):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постановление Кабинета Министров Чувашской Республики № 103 не вносились,</w:t>
      </w:r>
    </w:p>
    <w:p w:rsidR="00B32549" w:rsidRDefault="00B3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 Сведения  о  полномочиях  органа 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на  установление соответствующих обязательных требований: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полномочий, определенных пунктом 1 части 1 статьи 7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4"/>
          <w:szCs w:val="24"/>
        </w:rPr>
        <w:t>(далее – Федеральный закон № 498-ФЗ).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1.4. Дата вступления в силу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№ 103 вступило в силу с 22 марта 2020 г.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1.5. Установленный переходный период и (или) отсрочка вступления в силу нормативного правового акта либо распространение установленного правового регулирования на ранее возникшие отношения: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десять дней после дня официального опубликования.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1.6.  Сведения  о  результатах оценки регулирующего воздействия проекта нормативного   правового   акта   (далее  также  -  проект  акта)  (да/нет) (углубленная/предварительная)  с  приведением  результатов  ее проведения в соответствие   со   сводным   отчетом   о   результатах  проведения  оценки регулирующего воздействия проекта акта, заключением об оценке регулирующего воздействия   проекта   акта,   сводкой  предложений,  поступивших  в  ходе проведения публичных консультаций по проекту акта: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углубленная оценка регулирующего воздействия завершена 17 января 2020 г. (заключение об оценке регулирующего воздействия нормативного правового акта согласовано письмом Минэкономразвития Чувашии  от 13 февраля 2020 г. № 05/18-1383).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1.7.  Электронный адрес размещения информации и материалов 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49" w:rsidRDefault="00F22C4D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tooltip="http://regulations.cap.ru/index.php?option=com_content&amp;view=article&amp;id=11010:24122019&amp;catid=118&amp;Itemid=114" w:history="1">
        <w:r w:rsidR="009D4529">
          <w:rPr>
            <w:rStyle w:val="af3"/>
            <w:rFonts w:ascii="Times New Roman" w:eastAsia="Times New Roman" w:hAnsi="Times New Roman" w:cs="Times New Roman"/>
            <w:color w:val="0000EE"/>
            <w:sz w:val="24"/>
          </w:rPr>
          <w:t>http://regulations.cap.ru/index.php?option=com_content&amp;view=article&amp;id=11010:24122019&amp;catid=118&amp;Itemid=114</w:t>
        </w:r>
      </w:hyperlink>
      <w:r w:rsidR="009D452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32549" w:rsidRDefault="009D452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1.8.  Период  действия  нормативного  правового  акта  и  его отдельных положений (при наличии): -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1.9.  Орган  исполнительной власти Чувашской Республики, осуществляющий функции по выработке государственной политики и нормативно-правовому регулированию в соответствующей сфере деятельности (далее - разработчик):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ветеринарная служба Чувашской Республики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1.10. Информация об исполнителях:</w:t>
      </w:r>
      <w:r>
        <w:rPr>
          <w:rFonts w:ascii="Times New Roman" w:hAnsi="Times New Roman" w:cs="Times New Roman"/>
          <w:sz w:val="24"/>
          <w:szCs w:val="24"/>
        </w:rPr>
        <w:t xml:space="preserve"> Белова Наталия Николаевна телефон: 8(8352) 56-51-26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1965), </w:t>
      </w:r>
      <w:hyperlink r:id="rId11" w:tooltip="mailto:economy17@cap.ru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vet35@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cap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549" w:rsidRDefault="00B3254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введения регулирования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Цели введения регулирования, предусмотренного нормативным правовым актом,  во  взаимосвязи  с целями, указанными в сводном отчете о проведении оценки  регулирующего  воздействия  проекта  нормативного правового акта, и сведения о  качественном результате регулирования (вывод на основе анализа качественных и количественных параметров,  характеризующих  результат введения  указанного  регулирования),  а также о показателях количественной динамики, характеризующих степень достижения  таких  целей  с  течением времени: </w:t>
      </w:r>
      <w:proofErr w:type="gramEnd"/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№ 103 утверждает Порядок организации деятельности приютов для животных, а также норм содержания животных в них на территории Чувашской Республики, установлено новое правовое  у субъектов предпринимательской деятельности возникают дополнительные расходы при осуществлении предпринимательской деятельности по организации приютов для животных (далее также – приют).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отрицательных последствий: хозяйствующие субъекты несут финансовые затраты зная ограничения, установленные постановлением Кабинета Министров Чувашской Республики № 103.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последствия: возможность содержания животных без владельцев в приюте, вакцинации от бешенства, маркировки, стерилизации и выпуску на прежнее место обитания рассматриваться как норма, соответствующая требованиям гуманности по обращению с животными, сформулированная в статье 137 Гражданского кодекса Российской Федерации.  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последствия для общества, выражается в укреплении нравственности, соблюдению принципов гуманности, обеспечения безопасности и иных прав и законных интересов граждан при обращении с животными.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положительных последствий: защита нравственности, прав и законных интересов граждан при обращении с животными </w:t>
      </w:r>
    </w:p>
    <w:p w:rsidR="00B32549" w:rsidRDefault="009D45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№ 1031 позволяет реализовать отдельные положения Федерального закона № 498-ФЗ, регулирующего отношения в области обращения с животными. </w:t>
      </w:r>
    </w:p>
    <w:p w:rsidR="00B32549" w:rsidRDefault="00B3254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Сведения  о  достижении  целей  введения  обязательных требований (снижение  риска причинения вреда (ущерба) охраняемым законом ценностям, на устранение  которого  направлено  установление соответствующих обязательных требований),  в том числе на основе сравнительного анализа с использованием качественных и количественных  результатов  регулирования  (индикативных показателей),  указанных в сводном отчете о проведении оценки регулирующего воздействия проекта нормативного правового акта: </w:t>
      </w:r>
      <w:proofErr w:type="gramEnd"/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№ 103 утвержден Поряд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ок организации деятельности приютов для животных, а также нормы содержания животных в них.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деятельности приютов для животных включает в себя следующие разделы: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работы приюта для животных;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размещению приюта для животных и обустройству его помещений;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поступления животных в приют для животных и проведение иных мероприятий;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выгулу, кормлению, поению животных и уходу за ними;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животных без владельцев до наступления их естественной смерти, возврат животных без владельцев на прежние места их обитания, передача животных без владельцев новым владельцам;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владельцам животных без владельцев, имеющих на ошейниках или иных предметах сведения о владельцах.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Чувашской Республики функционируют 2 приюта для животных без владельцев: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Муниципальный приют в г. Чебоксары (пр.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Тракторостроителей, 108Г), вместимостью 244 особей (оборудованы 65 уличных и 12 внутренних утепленных вольеров – некапитальные строения).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приют создан за счет средств г. Чебоксары. Для целей расширения данного приюта и увеличения его вместимости с 244 голов собак до 500 собак и 100 кошек администрацией г. Чебоксары принято решение о строительстве на его базе нового муниципального приюта с ликвидацией существующего.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(Чувашия, Чебоксарский район, пос. Кугеси,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Шоршелская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12) вместимостью до 150 голов. Приют создан за счет республиканского бюджета Чувашской Республики.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решается вопрос по созданию на территории Чувашской Республики третьего приюта в г. Шумерля вместимостью до 150 голов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единоразового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содержания. 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по отлову на территории региона осуществлялись пятью специализированными организациями: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ИП Терентьева Н.В., ИП Пименов В.Г.,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Мадьянкин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ИП Видинеев В.И., УРБОО по защите животных Подарок судьбы г. Ульяновск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T Serif" w:eastAsia="PT Serif" w:hAnsi="PT Serif" w:cs="PT Serif"/>
        </w:rPr>
        <w:t>.</w:t>
      </w:r>
      <w:proofErr w:type="gramEnd"/>
    </w:p>
    <w:p w:rsidR="00B32549" w:rsidRDefault="009D4529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указанных контролируемых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в 2023 году проведено 4 профилактических мероприятия, в том числе:</w:t>
      </w:r>
    </w:p>
    <w:p w:rsidR="00B32549" w:rsidRDefault="009D4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объявлено 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предостережения о недопустимости нарушения обязательных требований (в соответствии со статьей 49 Федерального закона № 248-ФЗ);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 2 профилактических визита (в соответствии со ст. 52 Федерального закона от </w:t>
      </w:r>
      <w:r>
        <w:rPr>
          <w:rFonts w:ascii="Times New Roman" w:hAnsi="Times New Roman" w:cs="Times New Roman"/>
          <w:sz w:val="24"/>
          <w:szCs w:val="24"/>
        </w:rPr>
        <w:t>31 июля 2020 г. № 248-ФЗ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проведен 1 профилактический визит.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профилактических мероприятий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Госветслужбы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Чувашии от 12.04.2022 № 106 утверждены формы проверочных листов, </w:t>
      </w:r>
      <w:r>
        <w:rPr>
          <w:rFonts w:ascii="Times New Roman" w:hAnsi="Times New Roman" w:cs="Times New Roman"/>
          <w:sz w:val="24"/>
          <w:szCs w:val="24"/>
        </w:rPr>
        <w:t>которые используются при проведении профилактических визитов.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практика привлечения к административной ответственности юридических лиц и индивидуальный предпринимателей за нарушение требований законодательства в области обращения с животными отсутствует.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ограничений, установленных постановлением Кабинета Министров Чувашской Республики № 103 от органов местного самоуправления и правоохранительных органов в период действия настоящего нормативного правового акта не поступало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2549" w:rsidRDefault="00B325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549" w:rsidRDefault="00B325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Основные  группы субъектов предпринимательской и иной экономической деятельности,  иные  заинтересованные  лица,  включая органы исполнительной власти   Чувашской  Республики,  интересы  которых  затрагиваются  правовым регулированием, установленным нормативным правовым актом, 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количества таких   субъектов на   день  подготовки  отчета  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 оценке  фактического воздействия  нормативного  правового  акта,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изменение численности и состава таких  групп  по сравнению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 сведениями, представленными разработчиком при проведении оценки регулирующего воздействия проекта акта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3.1. Перечень субъектов  предпринимательской  и  иной  экономической деятельности, иных заинтересованных лиц, включая органы исполнительной власти  Чувашской  Республики,  интересы которых затрагиваются правовым регулированием, установленным   нормативным   правовым   актом  (далее  -  заинтересованные лица):</w:t>
      </w:r>
    </w:p>
    <w:p w:rsidR="00B32549" w:rsidRDefault="009D45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Группы заинтересованных сторон:</w:t>
      </w:r>
    </w:p>
    <w:p w:rsidR="00B32549" w:rsidRDefault="009D45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государство в лице Государственной ветеринарной службы Чувашской Республики, органов местного самоуправления;</w:t>
      </w:r>
    </w:p>
    <w:p w:rsidR="00B32549" w:rsidRDefault="009D45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субъекты предпринимательской деятельности, осуществляющие деятельность по отлову и содержанию животных;</w:t>
      </w:r>
    </w:p>
    <w:p w:rsidR="00B32549" w:rsidRDefault="009D45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Общество в лице граждан.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3.2.  Данные  о  количестве  заинтересованных  лиц  в  настоящее время: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Чувашской Республики функционируют 2 приюта для животных без владельцев: 1) Муниципальный приют в г. Чебоксары (пр.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Тракторостроителей, 108Г), </w:t>
      </w:r>
      <w:proofErr w:type="gramEnd"/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(Чувашия, Чебоксарский район, пос. Кугеси,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Шоршелская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12)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3.3.  Данные  об  изменениях  количества заинтересованных лиц в течение срока действия нормативного правового акта: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субъектов предпринимательской деятельности не изменялось.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3.4. Источники данных: </w:t>
      </w:r>
      <w:r>
        <w:rPr>
          <w:rFonts w:ascii="Times New Roman" w:hAnsi="Times New Roman" w:cs="Times New Roman"/>
          <w:sz w:val="24"/>
          <w:szCs w:val="24"/>
        </w:rPr>
        <w:t>Ведомственная статистика.</w:t>
      </w:r>
    </w:p>
    <w:p w:rsidR="00B32549" w:rsidRDefault="00B3254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Изменение  бюджетных  расходов  и  доходов республиканского бюджета</w:t>
      </w:r>
    </w:p>
    <w:p w:rsidR="00B32549" w:rsidRDefault="009D452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 Республики  в  связи  с  реализацией,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</w:p>
    <w:p w:rsidR="00B32549" w:rsidRDefault="009D452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нормативным правовым  актом  полномочий,  прав  и  обязанностей  органов исполнительной власти Чувашской Республики</w:t>
      </w:r>
    </w:p>
    <w:p w:rsidR="00B32549" w:rsidRDefault="00B3254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4.1. Реализация полномочий, прав и обязанностей: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№ 103 реализованы полномочия, установленные Федеральным законом № 498-ФЗ, согласно которым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 деятельности приютов для животных, а также нормы содержания животных в них на территории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4.2. Описание  расходов  и  доходов республиканского бюджета Чувашской Республики: 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на создание приюта на базе помещений БУ ЧР «Чебоксарская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СББЖ»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Чувашии, за счёт средств Резервного фонда Чувашской Республики выделено 7 434,0 тыс. руб., приобретены: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- мобильные вольеры с утепленными конурами (зимниками) (40 ед.);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- модульное здание-раздевалка (бытовка для обслуживающего персонала) (1 ед.);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оборудование для приготовления пищи ЖБВ (варочный котёл) (1 ед.);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холодильное оборудование для хранения продуктов питания ЖВБ (1 ед.).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Чувашской Республики от 24 марта 2022 г. № 5 «О внесении изменений в Закон Чувашской Республики «О республиканском бюджете Чувашской Республики на 2022 год и на плановый период 2023 и 2024 годов» учтены предложения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о выделении из республиканского бюджета Чувашской Республики бюджетных средств на проведение капитального ремонта зданий временного приюта, теплых вольеров, кормовой кухни,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временного приюта на 13 608, 7 тыс. рублей.</w:t>
      </w:r>
    </w:p>
    <w:p w:rsidR="00B32549" w:rsidRDefault="009D4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деятельность по обращению с животными, в том числе деятельность приютов для животных без владельцев не предусматривает. 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4.3.  Оценка  расходов  и  доходов  республиканского  бюджета Чувашской Республики: 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республиканского бюджета Чувашской Республики составляет 0,00 рублей.</w:t>
      </w:r>
    </w:p>
    <w:p w:rsidR="00B32549" w:rsidRDefault="009D452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требований, установленных постановлением Кабинета Министров Чувашской Республики № 103, административная ответственность не предусмотрена.</w:t>
      </w:r>
    </w:p>
    <w:p w:rsidR="00B32549" w:rsidRDefault="009D452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4.4.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учет Минфина Чувашии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Чувашии.</w:t>
      </w:r>
    </w:p>
    <w:p w:rsidR="00B32549" w:rsidRDefault="00B3254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Оценка фактических расходов и доходов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иной  экономической  деятельности, связанных с необходимостью соблюдения установленных   нормативным   правовым  актом  обязанностей,  запретов  или ограничений</w:t>
      </w:r>
    </w:p>
    <w:p w:rsidR="00B32549" w:rsidRDefault="00B32549">
      <w:pPr>
        <w:pStyle w:val="ConsPlusNonformat"/>
        <w:jc w:val="both"/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5.1.  Установленные  обязанности, запреты или ограничения: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№ 103 предусматривается, что субъектами предпринимательской деятельности при организации деятельности приютов для животных должны соблюдаться следующие требования: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руководствоваться санитарно-эпидемиологическими правилами, требованиями по пожарной безопасности, санитарными правилами, законодательством Российской Федерации в сфере охраны окружающей среды, ветеринарным законодательством Российской Федерации и иными нормами, установленными законодательством Российской Федерации;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приюты для животных размещаются в специально предназначенных для этого зданиях, строениях, сооружениях;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осмотр и осуществлять мероприятия по обязательному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карантинированию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десяти дней поступивших в приюты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учет животных, маркирование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неснимаемыми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несмываемыми метками поступивших в приюты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стерилизацию поступивших в приюты животных без владельцев;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содержать поступивших в приюты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 владельцам животных, имеющих на ошейниках или иных предметах сведения о владельцах;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размещать в информационно-телекоммуникационной сети «Интернет» сведения о находящихся в приютах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документально подтвержденный учет поступления животных в приюты для животных и выбытия животных из приютов для животных;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возможность посещения приютов гражданами, добровольцами (волонтерами);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проверок;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по размещению, технологическому проектированию здания приюта, его оснащению, содержанию;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к вольерам, клеткам для животных;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 помещениях температурного режима;</w:t>
      </w:r>
    </w:p>
    <w:p w:rsidR="00B32549" w:rsidRDefault="009D452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к выгулу, кормлению, поению животных и уходу за ними.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5.2.   Группа   субъектов   предпринимательской  и  иной  экономической деятельности:</w:t>
      </w:r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Чувашской Республики функционируют 2 приюта для животных без владельцев: 1) Муниципальный приют в г. Чебоксары (пр.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Тракторостроителей, 108Г), </w:t>
      </w:r>
      <w:proofErr w:type="gramEnd"/>
    </w:p>
    <w:p w:rsidR="00B32549" w:rsidRDefault="009D4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(Чувашия, Чебоксарский район, пос. Кугеси,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Шоршелская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12)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5.3. Описание видов расходов и доходов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единовременные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периодические):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субъектов предпринимательской деятельности возникают в части содержания, лечения животных без владельцев, а также расходы, связанные с содержанием зданий и территории приюта (отопление, электричество, вывоз мусора, уборка территорий и т.п.), либо штрафов. Доходов не имеется.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5.4. Оценка расходов и доходов: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данные о расходах не запрашивались, доходов не имеется.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5.5. Источники данных: </w:t>
      </w:r>
      <w:r>
        <w:rPr>
          <w:rFonts w:ascii="Times New Roman" w:hAnsi="Times New Roman" w:cs="Times New Roman"/>
          <w:sz w:val="24"/>
          <w:szCs w:val="24"/>
        </w:rPr>
        <w:t>Ведомственный учет приютов.</w:t>
      </w:r>
    </w:p>
    <w:p w:rsidR="00B32549" w:rsidRDefault="00B3254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Оценка   фактических  положительных  и  отрицательных  последствий установленного правового регулирования</w:t>
      </w:r>
    </w:p>
    <w:p w:rsidR="00B32549" w:rsidRDefault="00B3254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6.1.  Описание  фактических  отрицательных  последствий  установленного правового   регулирования;   группы   заинтересованных   лиц,   на  которые распространяются указанные последствия: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отрицательных последствиях установленного правового регулирования за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постановления Кабинета Министров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103 отсутствуют.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6.2. Оценка отрицательных последствий: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6.3.  Описание  фактических  положительных  последствий  установленного регулирования;  группы  заинтересованных  лиц,  на которые распространяются указанные последствия: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последствия для общества, выраженные в соблюдении принципов гуманности по отношению к животным без владельцев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6.4. Оценка положительных последствий: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№ 103позволяет реализовать отдельные положения Федерального закона № 498-ФЗ, регулирующего отношения в области обращения с животными.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6.5.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учет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Чувашии.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Сведения  о  реализации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методов  контроля эффективности достижения целей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регулирования,  установленных  нормативным  правовым  актом, а также организационно-технических,   методологических,   информационных   и   иных мероприятий  с  указанием соответствующих расходов республиканского бюджета Чувашской Республики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7.1.  Описание  реализованных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методов контроля эффективности достижения целей  правового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регулирования,  а  также необходимых для достижения целей мероприятий (при наличии):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эффективности достижения заявленной цели правового регулирования 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в рамках регионального государственного контроля (надзора) в области обращения с животными.</w:t>
      </w:r>
    </w:p>
    <w:p w:rsidR="00B32549" w:rsidRDefault="009D4529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указанных контролируемых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в 2023 году проведено 4 профилактических мероприятия, в том числе:</w:t>
      </w:r>
    </w:p>
    <w:p w:rsidR="00B32549" w:rsidRDefault="009D4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объявлено 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предостережения о недопустимости нарушения обязательных требований (в соответствии со статьей 49 Федерального закона № 248-ФЗ);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 2 профилактических визита (в соответствии со ст. 52 Федерального закона от </w:t>
      </w:r>
      <w:r>
        <w:rPr>
          <w:rFonts w:ascii="Times New Roman" w:hAnsi="Times New Roman" w:cs="Times New Roman"/>
          <w:sz w:val="24"/>
          <w:szCs w:val="24"/>
        </w:rPr>
        <w:t>31 июля 2020 г. № 248-ФЗ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проведен 1 профилактический визит.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практика привлечения к административной ответственности юридических лиц и индивидуальный предпринимателей за нарушение требований законодательства в области обращения с животными отсутствует.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7.2.  Описание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результатов  реализации  методов контроля эффективности достижения   целей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и   необходимых   для  достижения  целей  мероприятий: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Нарушений, повлекших привлечение к административной ответственности не выявлено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7.3.  Оценка  расходов  республиканского  бюджета Чувашской Республики: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8.   Оценка   эффективности   достижения   заявленных  целей  </w:t>
      </w:r>
    </w:p>
    <w:p w:rsidR="00B32549" w:rsidRDefault="009D45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правового регулирования: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764"/>
        <w:gridCol w:w="1589"/>
        <w:gridCol w:w="1510"/>
        <w:gridCol w:w="1187"/>
        <w:gridCol w:w="1187"/>
        <w:gridCol w:w="1187"/>
        <w:gridCol w:w="1429"/>
      </w:tblGrid>
      <w:tr w:rsidR="00B32549">
        <w:tc>
          <w:tcPr>
            <w:tcW w:w="1897" w:type="dxa"/>
            <w:vMerge w:val="restart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Цели установленного правового регулирования</w:t>
            </w:r>
          </w:p>
        </w:tc>
        <w:tc>
          <w:tcPr>
            <w:tcW w:w="1657" w:type="dxa"/>
            <w:vMerge w:val="restart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Наименование индикатора (показателя) достижения целей нормативного правового акта</w:t>
            </w:r>
          </w:p>
        </w:tc>
        <w:tc>
          <w:tcPr>
            <w:tcW w:w="1574" w:type="dxa"/>
          </w:tcPr>
          <w:p w:rsidR="00B32549" w:rsidRDefault="009D4529">
            <w:pPr>
              <w:pStyle w:val="ConsPlus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Значения до вступления в силу нормативного правового акта</w:t>
            </w:r>
          </w:p>
        </w:tc>
        <w:tc>
          <w:tcPr>
            <w:tcW w:w="3548" w:type="dxa"/>
            <w:gridSpan w:val="3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Значения за период действия нормативного правового акта</w:t>
            </w:r>
          </w:p>
          <w:p w:rsidR="00B32549" w:rsidRDefault="00B32549">
            <w:pPr>
              <w:pStyle w:val="ConsPlusNonformat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75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highlight w:val="white"/>
              </w:rPr>
              <w:t>Плановые значения на следующий год после отчетного</w:t>
            </w:r>
            <w:proofErr w:type="gramEnd"/>
          </w:p>
        </w:tc>
      </w:tr>
      <w:tr w:rsidR="00B32549">
        <w:tc>
          <w:tcPr>
            <w:tcW w:w="1897" w:type="dxa"/>
            <w:vMerge/>
          </w:tcPr>
          <w:p w:rsidR="00B32549" w:rsidRDefault="00B3254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32549" w:rsidRDefault="00B3254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2020г.</w:t>
            </w:r>
          </w:p>
        </w:tc>
        <w:tc>
          <w:tcPr>
            <w:tcW w:w="1575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2021 г.</w:t>
            </w:r>
          </w:p>
        </w:tc>
        <w:tc>
          <w:tcPr>
            <w:tcW w:w="1575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2022 г.</w:t>
            </w:r>
          </w:p>
        </w:tc>
        <w:tc>
          <w:tcPr>
            <w:tcW w:w="1575" w:type="dxa"/>
          </w:tcPr>
          <w:p w:rsidR="00B32549" w:rsidRDefault="009D4529">
            <w:pPr>
              <w:pStyle w:val="ConsPlusNonforma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75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2024 г.</w:t>
            </w:r>
          </w:p>
        </w:tc>
      </w:tr>
      <w:tr w:rsidR="00B32549">
        <w:tc>
          <w:tcPr>
            <w:tcW w:w="1897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соблюдение принципов гуманности по отношению к животным без владельцев</w:t>
            </w:r>
          </w:p>
        </w:tc>
        <w:tc>
          <w:tcPr>
            <w:tcW w:w="1657" w:type="dxa"/>
          </w:tcPr>
          <w:p w:rsidR="00B32549" w:rsidRDefault="009D4529">
            <w:r>
              <w:t>Количество приютов для животных, действующих на территории Чувашской Республики</w:t>
            </w:r>
          </w:p>
        </w:tc>
        <w:tc>
          <w:tcPr>
            <w:tcW w:w="1574" w:type="dxa"/>
          </w:tcPr>
          <w:p w:rsidR="00B32549" w:rsidRDefault="009D4529">
            <w:r>
              <w:t>1</w:t>
            </w:r>
          </w:p>
        </w:tc>
        <w:tc>
          <w:tcPr>
            <w:tcW w:w="1575" w:type="dxa"/>
          </w:tcPr>
          <w:p w:rsidR="00B32549" w:rsidRDefault="009D4529">
            <w:r>
              <w:t>2</w:t>
            </w:r>
          </w:p>
        </w:tc>
        <w:tc>
          <w:tcPr>
            <w:tcW w:w="1575" w:type="dxa"/>
          </w:tcPr>
          <w:p w:rsidR="00B32549" w:rsidRDefault="009D4529">
            <w:r>
              <w:t>2</w:t>
            </w:r>
          </w:p>
        </w:tc>
        <w:tc>
          <w:tcPr>
            <w:tcW w:w="1575" w:type="dxa"/>
          </w:tcPr>
          <w:p w:rsidR="00B32549" w:rsidRDefault="009D4529">
            <w:r>
              <w:t>2</w:t>
            </w:r>
          </w:p>
        </w:tc>
        <w:tc>
          <w:tcPr>
            <w:tcW w:w="1575" w:type="dxa"/>
          </w:tcPr>
          <w:p w:rsidR="00B32549" w:rsidRDefault="009D4529">
            <w:r>
              <w:t>3</w:t>
            </w:r>
          </w:p>
        </w:tc>
      </w:tr>
    </w:tbl>
    <w:p w:rsidR="00B32549" w:rsidRDefault="00B3254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2549" w:rsidRDefault="009D452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>Источники данных: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Ведомственный учет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Чувашии</w:t>
      </w:r>
    </w:p>
    <w:p w:rsidR="00B32549" w:rsidRDefault="00B32549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8.1.  Сравнение индикаторов (показателей) достижения целей нормативного правового   акта,  установленных  в  сводном  отчете  о  проведении  оценки регулирующего   воздействия  проекта  нормативного  правового  акта,  и  их фактических значений: 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2463"/>
        <w:gridCol w:w="3349"/>
        <w:gridCol w:w="3119"/>
      </w:tblGrid>
      <w:tr w:rsidR="00B32549">
        <w:tc>
          <w:tcPr>
            <w:tcW w:w="675" w:type="dxa"/>
            <w:vMerge w:val="restart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2463" w:type="dxa"/>
            <w:vMerge w:val="restart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Отчетный период</w:t>
            </w:r>
          </w:p>
        </w:tc>
        <w:tc>
          <w:tcPr>
            <w:tcW w:w="6468" w:type="dxa"/>
            <w:gridSpan w:val="2"/>
          </w:tcPr>
          <w:p w:rsidR="00B32549" w:rsidRDefault="009D45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Количество приютов для животных, действующих на территории Чувашской Республики, ед.</w:t>
            </w:r>
          </w:p>
        </w:tc>
      </w:tr>
      <w:tr w:rsidR="00B32549">
        <w:tc>
          <w:tcPr>
            <w:tcW w:w="675" w:type="dxa"/>
            <w:vMerge/>
          </w:tcPr>
          <w:p w:rsidR="00B32549" w:rsidRDefault="00B325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B32549" w:rsidRDefault="00B325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План</w:t>
            </w:r>
          </w:p>
        </w:tc>
        <w:tc>
          <w:tcPr>
            <w:tcW w:w="3119" w:type="dxa"/>
          </w:tcPr>
          <w:p w:rsidR="00B32549" w:rsidRDefault="009D45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Факт</w:t>
            </w:r>
          </w:p>
        </w:tc>
      </w:tr>
      <w:tr w:rsidR="00B32549">
        <w:tc>
          <w:tcPr>
            <w:tcW w:w="675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2463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2021 год</w:t>
            </w:r>
          </w:p>
        </w:tc>
        <w:tc>
          <w:tcPr>
            <w:tcW w:w="3349" w:type="dxa"/>
          </w:tcPr>
          <w:p w:rsidR="00B32549" w:rsidRDefault="009D4529">
            <w:r>
              <w:t>2</w:t>
            </w:r>
          </w:p>
        </w:tc>
        <w:tc>
          <w:tcPr>
            <w:tcW w:w="3119" w:type="dxa"/>
          </w:tcPr>
          <w:p w:rsidR="00B32549" w:rsidRDefault="009D4529">
            <w:r>
              <w:t>2</w:t>
            </w:r>
          </w:p>
        </w:tc>
      </w:tr>
      <w:tr w:rsidR="00B32549">
        <w:tc>
          <w:tcPr>
            <w:tcW w:w="675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2463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2022 год</w:t>
            </w:r>
          </w:p>
        </w:tc>
        <w:tc>
          <w:tcPr>
            <w:tcW w:w="3349" w:type="dxa"/>
          </w:tcPr>
          <w:p w:rsidR="00B32549" w:rsidRDefault="009D4529">
            <w:r>
              <w:t>2</w:t>
            </w:r>
          </w:p>
        </w:tc>
        <w:tc>
          <w:tcPr>
            <w:tcW w:w="3119" w:type="dxa"/>
          </w:tcPr>
          <w:p w:rsidR="00B32549" w:rsidRDefault="009D4529">
            <w:r>
              <w:t>2</w:t>
            </w:r>
          </w:p>
        </w:tc>
      </w:tr>
      <w:tr w:rsidR="00B32549">
        <w:tc>
          <w:tcPr>
            <w:tcW w:w="675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2463" w:type="dxa"/>
          </w:tcPr>
          <w:p w:rsidR="00B32549" w:rsidRDefault="009D45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2023 год</w:t>
            </w:r>
          </w:p>
        </w:tc>
        <w:tc>
          <w:tcPr>
            <w:tcW w:w="3349" w:type="dxa"/>
          </w:tcPr>
          <w:p w:rsidR="00B32549" w:rsidRDefault="009D4529">
            <w:r>
              <w:t>2</w:t>
            </w:r>
          </w:p>
        </w:tc>
        <w:tc>
          <w:tcPr>
            <w:tcW w:w="3119" w:type="dxa"/>
          </w:tcPr>
          <w:p w:rsidR="00B32549" w:rsidRDefault="009D4529">
            <w:r>
              <w:t>2</w:t>
            </w:r>
          </w:p>
        </w:tc>
      </w:tr>
    </w:tbl>
    <w:p w:rsidR="00B32549" w:rsidRDefault="00B3254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lastRenderedPageBreak/>
        <w:t xml:space="preserve">8.2. Выводы по итогам сравнительного анализа: 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на территории республики приюты позволяют проводить мероприятия по обращению с животными без владельцев по программе ОСВВ (отлов, стерилизация, вакцинация, возврат) в количестве до 3 000 голов в год.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2021 год было отловлено - 1214 голов, в 2022 - 2083, в 2023 - 2069 голов животных без владельцев. 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Сведения о привлечении к ответственности за нарушение установленных нормативным   правовым   актом   обязательных  требований  (в  случае  если нормативным  правовым  актом  установлена  такая  ответственность) и анализ основных  причин  нарушения  соответствующих обязательных требований, в том числе  на  предмет  исполнимости  обязательных требований без несоразмерных издержек субъектов регулирования и (или) наличия необоснованных ограничений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9.1.  Вид ответственности и сведения о привлечении к ответственности за нарушение установленных нормативным правовым актом обязательных требований: 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установлена: частью 1 статьи 18.54 Кодекса Российской Федерации об административных правонарушениях установлено с 13.06.2023 года Федеральным законом 230-ФЗ, в настоящее время практики привлечения к административной ответственности не имеется.</w:t>
      </w:r>
    </w:p>
    <w:p w:rsidR="00B32549" w:rsidRDefault="00B3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9.2.  Анализ  основных  причин  нарушения  соответствующих обязательных требований, в том числе на предмет исполнимости обязательных требований без несоразмерных    издержек   субъектов   регулирования   и   (или)   наличия необоснованных ограничений:</w:t>
      </w:r>
    </w:p>
    <w:p w:rsidR="00B32549" w:rsidRDefault="009D4529">
      <w:p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практики привлечения к административной ответственности не имеется;</w:t>
      </w:r>
    </w:p>
    <w:p w:rsidR="00B32549" w:rsidRDefault="009D4529">
      <w:p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 по отлову и содержанию животных, является очень затратной, желающих создать приют для животных в регионе практически не имеется, т.к. предъявляется много требований к ним и является очень затратным видом деятельности. </w:t>
      </w:r>
    </w:p>
    <w:p w:rsidR="00B32549" w:rsidRDefault="009D4529">
      <w:pPr>
        <w:pStyle w:val="ConsPlusNonformat"/>
        <w:jc w:val="both"/>
      </w:pPr>
      <w:r>
        <w:t xml:space="preserve"> 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9.3. Источники данных: Ведомственный учет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Чувашии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Иные  сведения,  которые позволяют оценить фактическое воздействие нормативного правового акта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10.1. Иные необходимые, по мнению разработчика, сведения: не приводятся.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10.2. Источники данных: </w:t>
      </w:r>
      <w:r>
        <w:rPr>
          <w:rFonts w:ascii="Times New Roman" w:hAnsi="Times New Roman" w:cs="Times New Roman"/>
          <w:sz w:val="24"/>
          <w:szCs w:val="24"/>
        </w:rPr>
        <w:t>не приводятся.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Сведения  о  проведении публичных консультаций по отчету об оценке фактического воздействия нормативного правового акта и сроках их проведения</w:t>
      </w:r>
    </w:p>
    <w:p w:rsidR="00B32549" w:rsidRDefault="00B32549">
      <w:pPr>
        <w:pStyle w:val="ConsPlusNonformat"/>
        <w:ind w:firstLine="709"/>
        <w:jc w:val="both"/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11.1. Общие сроки проведения публичных консультаций по отчету об оценке фактического  воздействия  нормативного  правового  акта (далее – публичные консультации): </w:t>
      </w:r>
    </w:p>
    <w:p w:rsidR="00B32549" w:rsidRDefault="00BE5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проведении публичных консультаций размещено </w:t>
      </w:r>
      <w:r w:rsidR="009D4529">
        <w:rPr>
          <w:rFonts w:ascii="Times New Roman" w:hAnsi="Times New Roman" w:cs="Times New Roman"/>
          <w:sz w:val="24"/>
          <w:szCs w:val="24"/>
        </w:rPr>
        <w:t>с 25.03.2024,  до 19.04.2024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11.2. Электронный адрес размещения нормативного правового акта, отчета об  оценке  фактического  воздействия нормативного правового акта и перечня вопросов  к  участникам  публичных  консультаций  на  официальном  сайте на Портале   органов власти Чувашской Республики в информационно-телекоммуникационной сети «Интернет»:</w:t>
      </w:r>
    </w:p>
    <w:p w:rsidR="00B32549" w:rsidRDefault="00F22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2483E" w:rsidRPr="00E709B4">
          <w:rPr>
            <w:rStyle w:val="af3"/>
            <w:rFonts w:ascii="Times New Roman" w:hAnsi="Times New Roman" w:cs="Times New Roman"/>
            <w:sz w:val="24"/>
            <w:szCs w:val="24"/>
          </w:rPr>
          <w:t>https://vet.cap.ru/action/activity/gosudarstvennij-nadzor-v-oblasti-obrascheniya-s-zh/16-ocenka</w:t>
        </w:r>
      </w:hyperlink>
    </w:p>
    <w:p w:rsidR="0062483E" w:rsidRDefault="00624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11.3.  Описание иных форм проведения публичных консультаций с указанием способа представления мнений: </w:t>
      </w:r>
    </w:p>
    <w:p w:rsidR="00B32549" w:rsidRDefault="009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фактического воздействия постановления Кабинета Министров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103 Уполномоченного по защите прав предпринимателей по Чувашской Республике, ряда организаций.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11.4. Справка о результатах публичных консультаций и сводка предложений к ней, которые размещены:  </w:t>
      </w: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11.5. Подготовленные на основе полученных результатов выводы: </w:t>
      </w:r>
      <w:r>
        <w:rPr>
          <w:rFonts w:ascii="Times New Roman" w:hAnsi="Times New Roman" w:cs="Times New Roman"/>
          <w:sz w:val="24"/>
          <w:szCs w:val="24"/>
        </w:rPr>
        <w:t>В рамках проведения публичных консультаций предложения и замечания к отчету об оценке фактического воздействия постановления Кабинета Министров № 103 не поступали.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Подготовленные на основе полученных выводов предложения о признании утратившими силу, или пересмотре, или продлении срока действия нормативного правового  акта,  его  отдельных  положений  (о целесообразности сохранения действия  нормативного  правового акта, его отдельных положений) - в случае оценки   нормативного   правового   акта,   содержащего   срок  действия  в соответствии  с  частью  4  статьи  3  Федерального закона «Об обязательных требованиях в Российской Федерации»</w:t>
      </w:r>
      <w:proofErr w:type="gramEnd"/>
    </w:p>
    <w:p w:rsidR="00B32549" w:rsidRDefault="009D4529">
      <w:pPr>
        <w:pStyle w:val="ConsPlusNonformat"/>
        <w:jc w:val="both"/>
      </w:pPr>
      <w:r>
        <w:t xml:space="preserve">  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12.1. Содержание предложения: 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проведенного анализа выявлено, что цели принятия регулирования достигнуты.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необоснованно затрудняющих ведение предпринимательской деятельности и инвестиционной деятельности или приводящих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необоснованных расходов республиканского бюджета Чувашской Республики не установлены.</w:t>
      </w:r>
    </w:p>
    <w:p w:rsidR="00B32549" w:rsidRDefault="009D45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12.2. Цели предложения: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региональной законодательство в части уточнения срока действия постановления Кабинета Министров Чувашской республики № 103 не требуется.  </w:t>
      </w:r>
      <w:proofErr w:type="gramEnd"/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B325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9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B32549" w:rsidRDefault="00B32549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549" w:rsidRDefault="00B32549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549">
      <w:headerReference w:type="default" r:id="rId13"/>
      <w:pgSz w:w="11906" w:h="16838"/>
      <w:pgMar w:top="1134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4D" w:rsidRDefault="00F22C4D">
      <w:pPr>
        <w:spacing w:after="0" w:line="240" w:lineRule="auto"/>
      </w:pPr>
      <w:r>
        <w:separator/>
      </w:r>
    </w:p>
  </w:endnote>
  <w:endnote w:type="continuationSeparator" w:id="0">
    <w:p w:rsidR="00F22C4D" w:rsidRDefault="00F2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PT Astra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4D" w:rsidRDefault="00F22C4D">
      <w:pPr>
        <w:spacing w:after="0" w:line="240" w:lineRule="auto"/>
      </w:pPr>
      <w:r>
        <w:separator/>
      </w:r>
    </w:p>
  </w:footnote>
  <w:footnote w:type="continuationSeparator" w:id="0">
    <w:p w:rsidR="00F22C4D" w:rsidRDefault="00F2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64030"/>
      <w:docPartObj>
        <w:docPartGallery w:val="Page Numbers (Top of Page)"/>
        <w:docPartUnique/>
      </w:docPartObj>
    </w:sdtPr>
    <w:sdtEndPr/>
    <w:sdtContent>
      <w:p w:rsidR="00B32549" w:rsidRDefault="00B32549">
        <w:pPr>
          <w:pStyle w:val="afc"/>
          <w:jc w:val="center"/>
        </w:pPr>
      </w:p>
      <w:p w:rsidR="00B32549" w:rsidRDefault="00B32549">
        <w:pPr>
          <w:pStyle w:val="afc"/>
          <w:jc w:val="center"/>
        </w:pPr>
      </w:p>
      <w:p w:rsidR="00B32549" w:rsidRDefault="009D452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6E">
          <w:rPr>
            <w:noProof/>
          </w:rPr>
          <w:t>3</w:t>
        </w:r>
        <w:r>
          <w:fldChar w:fldCharType="end"/>
        </w:r>
      </w:p>
    </w:sdtContent>
  </w:sdt>
  <w:p w:rsidR="00B32549" w:rsidRDefault="00B325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3D96"/>
    <w:multiLevelType w:val="multilevel"/>
    <w:tmpl w:val="0C5A454C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660" w:hanging="109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27" w:hanging="1092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">
    <w:nsid w:val="7D9F1EDA"/>
    <w:multiLevelType w:val="hybridMultilevel"/>
    <w:tmpl w:val="85B01892"/>
    <w:lvl w:ilvl="0" w:tplc="D8027F6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98A217B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DC2C0D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5D0A33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1F822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ED85E2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B2B0F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D3A7C0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0A6E7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9"/>
    <w:rsid w:val="004F6575"/>
    <w:rsid w:val="0062483E"/>
    <w:rsid w:val="009D4529"/>
    <w:rsid w:val="00B32549"/>
    <w:rsid w:val="00BE53D3"/>
    <w:rsid w:val="00DA006E"/>
    <w:rsid w:val="00F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Обычный текст_Кислород"/>
    <w:basedOn w:val="a"/>
    <w:next w:val="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af5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semiHidden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">
    <w:name w:val="Обычный + 11 pt"/>
    <w:basedOn w:val="a"/>
    <w:pPr>
      <w:spacing w:before="60" w:after="6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Обычный текст_Кислород"/>
    <w:basedOn w:val="a"/>
    <w:next w:val="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af5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semiHidden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">
    <w:name w:val="Обычный + 11 pt"/>
    <w:basedOn w:val="a"/>
    <w:pPr>
      <w:spacing w:before="60" w:after="6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t.cap.ru/action/activity/gosudarstvennij-nadzor-v-oblasti-obrascheniya-s-zh/16-oc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y17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gulations.cap.ru/index.php?option=com_content&amp;view=article&amp;id=11010:24122019&amp;catid=118&amp;Itemid=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1E10-0A36-46A9-82CD-9547F66A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Александрова Марина</dc:creator>
  <cp:lastModifiedBy>Молякова Наталья Николаевна</cp:lastModifiedBy>
  <cp:revision>5</cp:revision>
  <dcterms:created xsi:type="dcterms:W3CDTF">2024-05-21T08:08:00Z</dcterms:created>
  <dcterms:modified xsi:type="dcterms:W3CDTF">2024-10-21T12:22:00Z</dcterms:modified>
</cp:coreProperties>
</file>