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A6F59">
      <w:pPr>
        <w:pStyle w:val="1"/>
      </w:pPr>
      <w:r>
        <w:fldChar w:fldCharType="begin"/>
      </w:r>
      <w:r>
        <w:instrText>HYPERLINK "https://internet.garant.ru/document/redirect/72584324/0"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 Канаша Чувашской Республики от 1 авг</w:t>
      </w:r>
      <w:r>
        <w:rPr>
          <w:rStyle w:val="a4"/>
          <w:b w:val="0"/>
          <w:bCs w:val="0"/>
        </w:rPr>
        <w:t>уста 2019 г. N 817 "Об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городе Кан</w:t>
      </w:r>
      <w:r>
        <w:rPr>
          <w:rStyle w:val="a4"/>
          <w:b w:val="0"/>
          <w:bCs w:val="0"/>
        </w:rPr>
        <w:t>аш Чувашской Республики" (с изменениями и дополнениями)</w:t>
      </w:r>
      <w:r>
        <w:fldChar w:fldCharType="end"/>
      </w:r>
    </w:p>
    <w:p w:rsidR="00000000" w:rsidRDefault="007A6F59">
      <w:pPr>
        <w:pStyle w:val="ab"/>
      </w:pPr>
      <w:r>
        <w:t>С изменениями и дополнениями от:</w:t>
      </w:r>
    </w:p>
    <w:p w:rsidR="00000000" w:rsidRDefault="007A6F5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2019 г.</w:t>
      </w:r>
    </w:p>
    <w:p w:rsidR="00000000" w:rsidRDefault="007A6F59"/>
    <w:p w:rsidR="00000000" w:rsidRDefault="007A6F59">
      <w:r>
        <w:t xml:space="preserve">В соответствии с </w:t>
      </w:r>
      <w:hyperlink r:id="rId7" w:history="1">
        <w:r>
          <w:rPr>
            <w:rStyle w:val="a4"/>
          </w:rPr>
          <w:t>частью 4 статьи 24</w:t>
        </w:r>
      </w:hyperlink>
      <w:r>
        <w:t xml:space="preserve"> Федерального закона от 13 июля 2015 года N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</w:t>
      </w:r>
      <w:r>
        <w:t xml:space="preserve">кты Российской Федерации",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администрации города Канаш Чувашской Республики от 29.04.2019 г. N 428 "Об утверждении Положения о проведении открытого конкурса на право получе</w:t>
      </w:r>
      <w:r>
        <w:t>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Республики", администрация города Канаш Чувашской Республики постановляет:</w:t>
      </w:r>
    </w:p>
    <w:p w:rsidR="00000000" w:rsidRDefault="007A6F5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A6F5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</w:t>
      </w:r>
      <w:r>
        <w:rPr>
          <w:shd w:val="clear" w:color="auto" w:fill="F0F0F0"/>
        </w:rPr>
        <w:t xml:space="preserve">о абзаца допущена опечатка. Дату названного </w:t>
      </w:r>
      <w:hyperlink r:id="rId9" w:history="1">
        <w:r>
          <w:rPr>
            <w:rStyle w:val="a4"/>
            <w:shd w:val="clear" w:color="auto" w:fill="F0F0F0"/>
          </w:rPr>
          <w:t>постановления</w:t>
        </w:r>
      </w:hyperlink>
      <w:r>
        <w:rPr>
          <w:shd w:val="clear" w:color="auto" w:fill="F0F0F0"/>
        </w:rPr>
        <w:t xml:space="preserve"> следует читать как "от 25 апреля 2019 г." </w:t>
      </w:r>
    </w:p>
    <w:p w:rsidR="00000000" w:rsidRDefault="007A6F59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шкалу</w:t>
        </w:r>
      </w:hyperlink>
      <w:r>
        <w:t xml:space="preserve"> для оценки критериев со</w:t>
      </w:r>
      <w:r>
        <w:t>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Чувашской Республики.</w:t>
      </w:r>
    </w:p>
    <w:p w:rsidR="00000000" w:rsidRDefault="007A6F59">
      <w:bookmarkStart w:id="2" w:name="sub_2"/>
      <w:bookmarkEnd w:id="1"/>
      <w:r>
        <w:t xml:space="preserve">2. Признать утратившим силу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администрации города Канаш Чувашской Республики от 30.03.2016 г. N 290 "Об утверждении шкалы для оценки критериев сопоставления заявок на участие в открытом конкурсе на прав</w:t>
      </w:r>
      <w:r>
        <w:t>о получения свидетельства об осуществлении перевозок по муниципальному маршруту регулярных перевозок в границах города Канаш Чувашской Республики".</w:t>
      </w:r>
    </w:p>
    <w:p w:rsidR="00000000" w:rsidRDefault="007A6F59">
      <w:bookmarkStart w:id="3" w:name="sub_3"/>
      <w:bookmarkEnd w:id="2"/>
      <w:r>
        <w:t xml:space="preserve">3. Настоящее постановление вступает в силу после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7A6F5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6F59">
            <w:pPr>
              <w:pStyle w:val="ac"/>
            </w:pPr>
            <w:r>
              <w:t>Глава администрации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A6F59">
            <w:pPr>
              <w:pStyle w:val="aa"/>
              <w:jc w:val="right"/>
            </w:pPr>
            <w:r>
              <w:t>В.Н. Михайлов</w:t>
            </w:r>
          </w:p>
        </w:tc>
      </w:tr>
    </w:tbl>
    <w:p w:rsidR="00000000" w:rsidRDefault="007A6F59"/>
    <w:p w:rsidR="00000000" w:rsidRDefault="007A6F5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7A6F5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16 августа 2019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 Канаша Чувашской Республики от 15 августа 2019 г. N 878</w:t>
      </w:r>
    </w:p>
    <w:p w:rsidR="00000000" w:rsidRDefault="007A6F59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A6F59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Утверждена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города Канаш Чувашской Республики</w:t>
      </w:r>
      <w:r>
        <w:rPr>
          <w:rStyle w:val="a3"/>
          <w:rFonts w:ascii="Arial" w:hAnsi="Arial" w:cs="Arial"/>
        </w:rPr>
        <w:br/>
        <w:t>от 01.08.2019 г. N 817</w:t>
      </w:r>
    </w:p>
    <w:p w:rsidR="00000000" w:rsidRDefault="007A6F59"/>
    <w:p w:rsidR="00000000" w:rsidRDefault="007A6F59">
      <w:pPr>
        <w:pStyle w:val="1"/>
      </w:pPr>
      <w:r>
        <w:t>Шкала</w:t>
      </w:r>
      <w:r>
        <w:br/>
        <w:t>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</w:t>
      </w:r>
      <w:r>
        <w:t xml:space="preserve"> перевозок в городе Канаш Чувашской Республики</w:t>
      </w:r>
    </w:p>
    <w:p w:rsidR="00000000" w:rsidRDefault="007A6F59">
      <w:pPr>
        <w:pStyle w:val="ab"/>
      </w:pPr>
      <w:r>
        <w:t>С изменениями и дополнениями от:</w:t>
      </w:r>
    </w:p>
    <w:p w:rsidR="00000000" w:rsidRDefault="007A6F5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15 августа 2019 г.</w:t>
      </w:r>
    </w:p>
    <w:p w:rsidR="00000000" w:rsidRDefault="007A6F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25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Содержание критерия, подтверждающий документ.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Значение параметров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Балльная 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1.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Количество дорожно-транспортных происшествий, повлекших за собой человеческие жертвы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</w:t>
            </w:r>
            <w:r>
              <w:t xml:space="preserve">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"Интернет" (далее - дата размещения извещения), в расчете на среднее количество транспортных средств, преду</w:t>
            </w:r>
            <w:r>
              <w:t>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работников, действовавшими в течение года, предшествующего дате размещения извещения (</w:t>
            </w:r>
            <w:hyperlink w:anchor="sub_2222" w:history="1">
              <w:r>
                <w:rPr>
                  <w:rStyle w:val="a4"/>
                </w:rPr>
                <w:t>ссылка 2</w:t>
              </w:r>
            </w:hyperlink>
            <w:r>
              <w:t>).</w:t>
            </w:r>
          </w:p>
          <w:p w:rsidR="00000000" w:rsidRDefault="007A6F59">
            <w:pPr>
              <w:pStyle w:val="ac"/>
            </w:pPr>
            <w:r>
              <w:t>Подтверждающий документ: Информация ГИБДД МВД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при значении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до 0,1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0,1 до 0,2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0,2 до 0,3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0,3 до 0,5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0,5 до 1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более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2.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Количество дорожно-транспортных происшествий, повлекших за со</w:t>
            </w:r>
            <w:r>
              <w:t>бой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</w:t>
            </w:r>
            <w:r>
              <w:t>нкурса на официальном сайте организатора открытого конкурса в информационно-телекоммуникационной сети "Интернет" (далее - дата размещения извещения), в расчете на среднее количество транспортных средств, предусмотренных договорами обязательного страхования</w:t>
            </w:r>
            <w:r>
              <w:t xml:space="preserve"> гражданской ответственности юридического лица, индивидуального предпринимателя, участников договора простого товарищества работников, действовавшими в течение года, предшествующего дате размещения извещения. (</w:t>
            </w:r>
            <w:hyperlink w:anchor="sub_3333" w:history="1">
              <w:r>
                <w:rPr>
                  <w:rStyle w:val="a4"/>
                </w:rPr>
                <w:t>ссылка 3</w:t>
              </w:r>
            </w:hyperlink>
            <w:r>
              <w:t>).</w:t>
            </w:r>
          </w:p>
          <w:p w:rsidR="00000000" w:rsidRDefault="007A6F59">
            <w:pPr>
              <w:pStyle w:val="ac"/>
            </w:pPr>
            <w:r>
              <w:t>Подтвержд</w:t>
            </w:r>
            <w:r>
              <w:t>ающий документ: Информация ГИБДД МВД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при значении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до 0,1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0,1 до 0,2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0,2 до 0,3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0,3 до 0,5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0,5 до 1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более 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контрактах либо нотариально заверенны</w:t>
            </w:r>
            <w:r>
              <w:t>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</w:t>
            </w:r>
            <w:r>
              <w:t>ршрутам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актами. Данный критерий в отношении юридического лица или индивидуального предпринимателя</w:t>
            </w:r>
            <w:r>
              <w:t xml:space="preserve">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</w:t>
            </w:r>
            <w:r>
              <w:t>егулярных перевозок каждым участником (</w:t>
            </w:r>
            <w:hyperlink w:anchor="sub_1111" w:history="1">
              <w:r>
                <w:rPr>
                  <w:rStyle w:val="a4"/>
                </w:rPr>
                <w:t>ссылка 1</w:t>
              </w:r>
            </w:hyperlink>
            <w:r>
              <w:t>).</w:t>
            </w:r>
          </w:p>
          <w:p w:rsidR="00000000" w:rsidRDefault="007A6F59">
            <w:pPr>
              <w:pStyle w:val="ac"/>
            </w:pPr>
            <w:r>
              <w:t>Подтверждающий документ: Свидетельства об осуществлении перевозок или муниципальный контракт на выполнение работ, связанных с осуществлением регулярных перевозок либо договоры об о</w:t>
            </w:r>
            <w:r>
              <w:t>рганизации перевозок пассажиров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До 1 года (включительно)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1 года до 2 лет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2 лет до 3 лет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3 лет до 5 лет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5 лет до 10 лет (включительно)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10 лет и выше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</w:t>
            </w:r>
            <w:r>
              <w:t>борудования для перевозок пассажиров с ограниченными возможностями передвижения, пассажиров с детскими колясками и иные характеристики) (</w:t>
            </w:r>
            <w:hyperlink w:anchor="sub_4444" w:history="1">
              <w:r>
                <w:rPr>
                  <w:rStyle w:val="a4"/>
                </w:rPr>
                <w:t>ссылка 4</w:t>
              </w:r>
            </w:hyperlink>
            <w:r>
              <w:t>):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наличие кондиционера в салоне транспортного средства;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наличие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Кср *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 xml:space="preserve">- упрощенный доступ в салон транспортного средства (низкопольная, полунизкопольная, </w:t>
            </w:r>
            <w:r>
              <w:lastRenderedPageBreak/>
              <w:t>система принудительного изменения уровня пола в автобусах);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lastRenderedPageBreak/>
              <w:t>наличие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Кср *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оборудование для перевозки пассажиров с ограниченными физическими возможностями и с детскими</w:t>
            </w:r>
            <w:r>
              <w:t xml:space="preserve"> колясками;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наличие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Кср *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установленная система антизажима пассажиров дверями;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наличие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Кср *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визуальное электронное текстовое или голосовое информирование пассажиров о параметрах маршрута движения, указание пунктов остановки;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наличие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Кср *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оснащение аппаратурой спутниковой навигации ГЛОНАСС или ГЛОНАСС/GPS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наличие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Кср *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Срок эксплуатации ТС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до 3 лет включительно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(количество полных лет с момента выпуска каждого автобуса, кроме резервного, складывается и делится на количество автобусов)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от 3 до 7 лет включительно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 xml:space="preserve">Подтверждающий документ: </w:t>
            </w:r>
            <w:hyperlink r:id="rId14" w:history="1">
              <w:r>
                <w:rPr>
                  <w:rStyle w:val="a4"/>
                </w:rPr>
                <w:t>ПТС</w:t>
              </w:r>
            </w:hyperlink>
            <w:r>
              <w:t xml:space="preserve"> копия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- свыше 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6.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Количество сидячих мест для пассажиров: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A6F59">
            <w:pPr>
              <w:pStyle w:val="ac"/>
            </w:pPr>
            <w:r>
              <w:t>из расчета за каждую единицу ТС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8 до 12 включительно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от 13 до 17 включительно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7A6F59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A6F59">
            <w:pPr>
              <w:pStyle w:val="ac"/>
            </w:pPr>
            <w:r>
              <w:t>18 и более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7A6F59">
            <w:pPr>
              <w:pStyle w:val="aa"/>
              <w:jc w:val="center"/>
            </w:pPr>
            <w:r>
              <w:t>2</w:t>
            </w:r>
          </w:p>
        </w:tc>
      </w:tr>
    </w:tbl>
    <w:p w:rsidR="00000000" w:rsidRDefault="007A6F59"/>
    <w:p w:rsidR="00000000" w:rsidRDefault="007A6F59">
      <w:r>
        <w:rPr>
          <w:rStyle w:val="a3"/>
        </w:rPr>
        <w:t>Примечание:</w:t>
      </w:r>
    </w:p>
    <w:p w:rsidR="00000000" w:rsidRDefault="007A6F59">
      <w:bookmarkStart w:id="5" w:name="sub_1111"/>
      <w:r>
        <w:t>ссылка 1 - при заявке на маршрут участников простого товарищества, опыт работы перевозчика определяется суммированием опытов всех участников и делением на количество участников простого товарищества.</w:t>
      </w:r>
    </w:p>
    <w:p w:rsidR="00000000" w:rsidRDefault="007A6F59">
      <w:bookmarkStart w:id="6" w:name="sub_2222"/>
      <w:bookmarkEnd w:id="5"/>
      <w:r>
        <w:t xml:space="preserve">ссылка 2 - определяется по формуле (N * </w:t>
      </w:r>
      <w:r>
        <w:t>10) / S, где</w:t>
      </w:r>
    </w:p>
    <w:bookmarkEnd w:id="6"/>
    <w:p w:rsidR="00000000" w:rsidRDefault="007A6F59">
      <w:r>
        <w:t>N - количество ДТП, повлекшие за собой человеческие жертвы (погибшие) при осуществлении регулярных перевозок по вине юридического лица, индивидуального предпринимателя, участника договора простого товарищества;</w:t>
      </w:r>
    </w:p>
    <w:p w:rsidR="00000000" w:rsidRDefault="007A6F59">
      <w:r>
        <w:t>S - среднесписочное коли</w:t>
      </w:r>
      <w:r>
        <w:t>чество транспортных средств, имеющихся в распоряжении юридического лица, индивидуального предпринимателя, всех участников договора простого товарищества в течение года работников в течение года, предшествующего дате размещения извещения о проведении открыт</w:t>
      </w:r>
      <w:r>
        <w:t>ого конкурса.</w:t>
      </w:r>
    </w:p>
    <w:p w:rsidR="00000000" w:rsidRDefault="007A6F59">
      <w:bookmarkStart w:id="7" w:name="sub_3333"/>
      <w:r>
        <w:t>ссылка 3 - определяется по формуле (N * 10) / S, где</w:t>
      </w:r>
    </w:p>
    <w:bookmarkEnd w:id="7"/>
    <w:p w:rsidR="00000000" w:rsidRDefault="007A6F59">
      <w:r>
        <w:t>N - количество ДТП, повлекшие за собой причинение вреда здоровью (раненые) при осуществлении регулярных перевозок по вине юридического лица, индивидуального предпринимателя,</w:t>
      </w:r>
      <w:r>
        <w:t xml:space="preserve"> участника договора простого товарищества;</w:t>
      </w:r>
    </w:p>
    <w:p w:rsidR="00000000" w:rsidRDefault="007A6F59">
      <w:r>
        <w:t xml:space="preserve">S - среднесписочное количество транспортных средств, имеющихся в распоряжении юридического лица, индивидуального предпринимателя, всех участников договора простого </w:t>
      </w:r>
      <w:r>
        <w:lastRenderedPageBreak/>
        <w:t>товарищества работников в течение года, предшеств</w:t>
      </w:r>
      <w:r>
        <w:t>ующего дате размещения извещения о проведении открытого конкурса.</w:t>
      </w:r>
    </w:p>
    <w:p w:rsidR="00000000" w:rsidRDefault="007A6F59">
      <w:bookmarkStart w:id="8" w:name="sub_4444"/>
      <w:r>
        <w:t>ссылка 4 - определяется по формуле Кср= nкр / nоб, где</w:t>
      </w:r>
    </w:p>
    <w:bookmarkEnd w:id="8"/>
    <w:p w:rsidR="00000000" w:rsidRDefault="007A6F59">
      <w:r>
        <w:t>nкр - количество транспортных средств, соответствующих показателю критерия;</w:t>
      </w:r>
    </w:p>
    <w:p w:rsidR="00000000" w:rsidRDefault="007A6F59">
      <w:r>
        <w:t>nоб - общее количество заявленных транспорт</w:t>
      </w:r>
      <w:r>
        <w:t>ных средств.</w:t>
      </w:r>
    </w:p>
    <w:p w:rsidR="00000000" w:rsidRDefault="007A6F59">
      <w:r>
        <w:t>* В случае обнаружения фактов предоставления участником в составе заявки недостоверной информации, существенным образом влияющей на оценку заявки этого участника, поддельных документов, решением конкурсной комиссии указанный участник может быт</w:t>
      </w:r>
      <w:r>
        <w:t>ь отстранен от участия в конкурсе на любом этапе его проведения.</w:t>
      </w:r>
    </w:p>
    <w:p w:rsidR="00000000" w:rsidRDefault="007A6F59">
      <w:r>
        <w:t>** Ни один из участников не должен вступать в контакты с заказчиком (организатором конкурса) по каким-либо вопросам, связанным с его заявкой, с момента вскрытия конвертов с заявками до момент</w:t>
      </w:r>
      <w:r>
        <w:t>а признания победителя.</w:t>
      </w:r>
    </w:p>
    <w:p w:rsidR="007A6F59" w:rsidRDefault="007A6F59"/>
    <w:sectPr w:rsidR="007A6F59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59" w:rsidRDefault="007A6F59">
      <w:r>
        <w:separator/>
      </w:r>
    </w:p>
  </w:endnote>
  <w:endnote w:type="continuationSeparator" w:id="0">
    <w:p w:rsidR="007A6F59" w:rsidRDefault="007A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A6F5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256D3">
            <w:rPr>
              <w:rFonts w:ascii="Times New Roman" w:hAnsi="Times New Roman" w:cs="Times New Roman"/>
              <w:noProof/>
              <w:sz w:val="20"/>
              <w:szCs w:val="20"/>
            </w:rPr>
            <w:t>31.05.2023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A6F5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A6F5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256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256D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256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256D3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59" w:rsidRDefault="007A6F59">
      <w:r>
        <w:separator/>
      </w:r>
    </w:p>
  </w:footnote>
  <w:footnote w:type="continuationSeparator" w:id="0">
    <w:p w:rsidR="007A6F59" w:rsidRDefault="007A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6F5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Канаша Чувашской Республики от 1 августа 2019 г. N 817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3"/>
    <w:rsid w:val="003256D3"/>
    <w:rsid w:val="007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A56E4A-C94B-4400-B7DC-66277F3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256D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75010/0" TargetMode="External"/><Relationship Id="rId13" Type="http://schemas.openxmlformats.org/officeDocument/2006/relationships/hyperlink" Target="https://internet.garant.ru/document/redirect/22749224/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129200/2404" TargetMode="External"/><Relationship Id="rId12" Type="http://schemas.openxmlformats.org/officeDocument/2006/relationships/hyperlink" Target="https://internet.garant.ru/document/redirect/72615478/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584325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4250815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8775010/0" TargetMode="External"/><Relationship Id="rId14" Type="http://schemas.openxmlformats.org/officeDocument/2006/relationships/hyperlink" Target="https://internet.garant.ru/document/redirect/12141327/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Хайруллина Ольга Минкадировна</cp:lastModifiedBy>
  <cp:revision>2</cp:revision>
  <cp:lastPrinted>2023-05-31T07:02:00Z</cp:lastPrinted>
  <dcterms:created xsi:type="dcterms:W3CDTF">2023-05-31T07:02:00Z</dcterms:created>
  <dcterms:modified xsi:type="dcterms:W3CDTF">2023-05-31T07:02:00Z</dcterms:modified>
</cp:coreProperties>
</file>