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243">
      <w:pPr>
        <w:pStyle w:val="ConsPlusNormal"/>
        <w:jc w:val="both"/>
        <w:outlineLvl w:val="0"/>
      </w:pPr>
      <w:bookmarkStart w:id="0" w:name="_GoBack"/>
      <w:bookmarkEnd w:id="0"/>
    </w:p>
    <w:p w:rsidR="00000000" w:rsidRDefault="00793243">
      <w:pPr>
        <w:pStyle w:val="ConsPlusNormal"/>
        <w:jc w:val="both"/>
      </w:pPr>
      <w:r>
        <w:t>Зарегистрировано в Госслужбе ЧР по делам юстиции 18 мая 2023 г. N 8552</w:t>
      </w:r>
    </w:p>
    <w:p w:rsidR="00000000" w:rsidRDefault="00793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93243">
      <w:pPr>
        <w:pStyle w:val="ConsPlusNormal"/>
        <w:jc w:val="both"/>
      </w:pPr>
    </w:p>
    <w:p w:rsidR="00000000" w:rsidRDefault="00793243">
      <w:pPr>
        <w:pStyle w:val="ConsPlusTitle"/>
        <w:jc w:val="center"/>
      </w:pPr>
      <w:r>
        <w:t>МИНИСТЕРСТВО ЭКОНОМИЧЕСКОГО РАЗВИТИЯ</w:t>
      </w:r>
    </w:p>
    <w:p w:rsidR="00000000" w:rsidRDefault="00793243">
      <w:pPr>
        <w:pStyle w:val="ConsPlusTitle"/>
        <w:jc w:val="center"/>
      </w:pPr>
      <w:r>
        <w:t>И ИМУЩЕСТВЕННЫХ ОТНОШЕНИЙ ЧУВАШСКОЙ РЕСПУБЛИКИ</w:t>
      </w:r>
    </w:p>
    <w:p w:rsidR="00000000" w:rsidRDefault="00793243">
      <w:pPr>
        <w:pStyle w:val="ConsPlusTitle"/>
        <w:jc w:val="both"/>
      </w:pPr>
    </w:p>
    <w:p w:rsidR="00000000" w:rsidRDefault="00793243">
      <w:pPr>
        <w:pStyle w:val="ConsPlusTitle"/>
        <w:jc w:val="center"/>
      </w:pPr>
      <w:r>
        <w:t>ПРИКАЗ</w:t>
      </w:r>
    </w:p>
    <w:p w:rsidR="00000000" w:rsidRDefault="00793243">
      <w:pPr>
        <w:pStyle w:val="ConsPlusTitle"/>
        <w:jc w:val="center"/>
      </w:pPr>
      <w:r>
        <w:t>от 16 мая 2023 г. N 96</w:t>
      </w:r>
    </w:p>
    <w:p w:rsidR="00000000" w:rsidRDefault="00793243">
      <w:pPr>
        <w:pStyle w:val="ConsPlusTitle"/>
        <w:jc w:val="both"/>
      </w:pPr>
    </w:p>
    <w:p w:rsidR="00000000" w:rsidRDefault="00793243">
      <w:pPr>
        <w:pStyle w:val="ConsPlusTitle"/>
        <w:jc w:val="center"/>
      </w:pPr>
      <w:r>
        <w:t>О ВНЕСЕНИИ ИЗМЕНЕНИЙ В ПРИКАЗ МИНИСТЕРСТВА ЭКОНОМИЧЕСКОГО</w:t>
      </w:r>
    </w:p>
    <w:p w:rsidR="00000000" w:rsidRDefault="00793243">
      <w:pPr>
        <w:pStyle w:val="ConsPlusTitle"/>
        <w:jc w:val="center"/>
      </w:pPr>
      <w:r>
        <w:t>РАЗВИТИЯ И ИМУЩЕСТВЕННЫХ ОТНОШЕНИЙ ЧУВАШСКОЙ РЕСПУБЛИКИ</w:t>
      </w:r>
    </w:p>
    <w:p w:rsidR="00000000" w:rsidRDefault="00793243">
      <w:pPr>
        <w:pStyle w:val="ConsPlusTitle"/>
        <w:jc w:val="center"/>
      </w:pPr>
      <w:r>
        <w:t>ОТ 5 АВГУСТА 2022 Г. N 101</w:t>
      </w:r>
    </w:p>
    <w:p w:rsidR="00000000" w:rsidRDefault="00793243">
      <w:pPr>
        <w:pStyle w:val="ConsPlusNormal"/>
        <w:jc w:val="both"/>
      </w:pPr>
    </w:p>
    <w:p w:rsidR="00000000" w:rsidRDefault="00793243">
      <w:pPr>
        <w:pStyle w:val="ConsPlusNormal"/>
        <w:ind w:firstLine="540"/>
        <w:jc w:val="both"/>
      </w:pPr>
      <w:r>
        <w:t>Приказываю: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1. Внести в Порядок (ст</w:t>
      </w:r>
      <w:r>
        <w:t>андарт) оказания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Федерации, утвержденный приказом Министерства экон</w:t>
      </w:r>
      <w:r>
        <w:t>омического развития и имущественных отношений Чувашской Республики от 5 августа 2022 г. N 101 "Об утверждении Порядка (стандарта) оказания государственной услуги по созданию условий в Чувашской Республике для обеспечения отдельных категорий граждан возможн</w:t>
      </w:r>
      <w:r>
        <w:t>остью путешествовать с целью развития туристского потенциала Российской Федерации" (зарегистрирован в Государственной службе Чувашской Республики по делам юстиции 16 августа 2022 г., регистрационный N 7928) с изменением, внесенным приказом Министерства эко</w:t>
      </w:r>
      <w:r>
        <w:t>номического развития и имущественных отношений Чувашской Республики от 19 декабря 2022 г. N 193 (зарегистрирован в Государственной службе Чувашской Республики по делам юстиции 16 января 2023 г., регистрационный N 8310), следующие изменения: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в разделе II: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в</w:t>
      </w:r>
      <w:r>
        <w:t xml:space="preserve"> пункте 4: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в абзаце первом слова "Управления образования муниципальных районов, муниципальных округов и городских округов Чувашской Республики" заменить словами "Структурные подразделения администраций муниципальных округов и городских округов Чувашской Ре</w:t>
      </w:r>
      <w:r>
        <w:t>спублики, осуществляющие муниципальное управление в сфере образования,";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в абзаце втором слова "муниципальными районами," исключить;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таблицу 3 изложить в следующей редакции:</w:t>
      </w:r>
    </w:p>
    <w:p w:rsidR="00000000" w:rsidRDefault="00793243">
      <w:pPr>
        <w:pStyle w:val="ConsPlusNormal"/>
        <w:jc w:val="both"/>
      </w:pPr>
    </w:p>
    <w:p w:rsidR="00000000" w:rsidRDefault="00793243">
      <w:pPr>
        <w:pStyle w:val="ConsPlusNormal"/>
        <w:jc w:val="right"/>
      </w:pPr>
      <w:r>
        <w:t>"Таблица 3</w:t>
      </w:r>
    </w:p>
    <w:p w:rsidR="00000000" w:rsidRDefault="00793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417"/>
        <w:gridCol w:w="1417"/>
      </w:tblGrid>
      <w:tr w:rsidR="00000000"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Муниципальные округа и городские округа Чувашской Республики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Количество потребителей услуги с учетом квоты</w:t>
            </w:r>
          </w:p>
        </w:tc>
      </w:tr>
      <w:tr w:rsidR="00000000"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2023 г.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Алатырский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Аликовский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Батыревский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Вурнарский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119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Ибресинский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86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Канашский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Козловский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62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Комсомольский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Красноармейский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47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Красночетайский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Мариинско-Посадский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69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Моргаушский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Порецкий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36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Урмарский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Цивильский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Чебоксарский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Шемуршинский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Шумерлинский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Ядринский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Яльчикский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54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Янтиковский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132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245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550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1728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lastRenderedPageBreak/>
              <w:t>г. Шумерля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3243">
            <w:pPr>
              <w:pStyle w:val="ConsPlusNormal"/>
              <w:jc w:val="center"/>
            </w:pPr>
            <w:r>
              <w:t>5000";</w:t>
            </w:r>
          </w:p>
        </w:tc>
      </w:tr>
    </w:tbl>
    <w:p w:rsidR="00000000" w:rsidRDefault="00793243">
      <w:pPr>
        <w:pStyle w:val="ConsPlusNormal"/>
        <w:jc w:val="both"/>
      </w:pPr>
    </w:p>
    <w:p w:rsidR="00000000" w:rsidRDefault="00793243">
      <w:pPr>
        <w:pStyle w:val="ConsPlusNormal"/>
        <w:ind w:firstLine="540"/>
        <w:jc w:val="both"/>
      </w:pPr>
      <w:r>
        <w:t>пункт 8 после слов "потребителя услуги" дополнить словами "либо родителя (законного представителя) потребителя услуги";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дополнить пунктом 9 следующего содержания: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"9. Родители (законные представители) потребителя услуги обязаны у</w:t>
      </w:r>
      <w:r>
        <w:t>ведомить Министерство и исполнителя услуги способом, указанным в договоре, о возникновении обстоятельств, препятствующих получению государственной услуги потребителем услуги, либо об отказе в ее получении не позднее 1 рабочего дня со дня возникновения таки</w:t>
      </w:r>
      <w:r>
        <w:t>х обстоятельств.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Потребитель услуги в течение 1 рабочего дня со дня возникновения обстоятельств, препятствующих получению государственной услуги потребителем услуги, вправе однократно обратиться в Министерство для повторного выбора в информационной системе</w:t>
      </w:r>
      <w:r>
        <w:t xml:space="preserve"> туристического продукта в письменной форме (в форме электронного документа).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Социальный сертификат аннулируется в случае, если менее чем за 3 рабочих дня до начала путешествия родителями (законными представителями) потребителя услуги не заключен договор с</w:t>
      </w:r>
      <w:r>
        <w:t xml:space="preserve"> исполнителем услуги либо при несоблюдении родителями (законными представителями) потребителя услуги и (или) потребителем услуги условий договора. Социальный сертификат аннулируется не позднее 1 рабочего дня, следующего за днем установления факта незаключе</w:t>
      </w:r>
      <w:r>
        <w:t>ния договора с исполнителем услуги либо несоблюдения родителями (законными представителями) потребителя услуги и (или) потребителем услуги условий договора.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Информацию об аннулировании социального сертификата Министерство вносит в реестр потребителей услуг</w:t>
      </w:r>
      <w:r>
        <w:t>и не позднее 1 рабочего дня со дня аннулирования социального сертификата.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В случае аннулирования социального сертификата Министерство формирует социальный сертификат и направляет его следующему претенденту, набравшему наибольшее количество баллов, из числа</w:t>
      </w:r>
      <w:r>
        <w:t xml:space="preserve"> претендентов, не вошедших в реестр потребителей услуги.";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пункт 2 раздела III дополнить абзацами следующего содержания: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"Пребывание потребителей услуги в индивидуальном и (или) групповом туре регулируется договором, заключенным исполнителем услуги с родит</w:t>
      </w:r>
      <w:r>
        <w:t>елями (законными представителями) потребителей услуги в целях оказания государственной услуги.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При заключении договора в электронной форме договор подписывается родителями (законными представителями) потребителя услуги простой электронной подписью посредст</w:t>
      </w:r>
      <w:r>
        <w:t>вом использования информационной системы, а исполнителем услуги - усиленной квалифицированной электронной подписью при наличии технической возможности, либо на бумажном носителе при отсутствии технической возможности.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 xml:space="preserve">При заключении договора на бумажном носителе договор заключается путем подписания двух экземпляров такого договора исполнителем услуги и родителями (законными </w:t>
      </w:r>
      <w:r>
        <w:lastRenderedPageBreak/>
        <w:t>представителями) потребителя услуги.";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в разделе IV: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пункт 1 дополнить абзацами следующего содерж</w:t>
      </w:r>
      <w:r>
        <w:t>ания: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"д) экскурсионное обслуживание в соответствии с ГОСТ Р 57807-2017 "Национальный стандарт Российской Федерации. Туристские услуги. Требования к экскурсоводам (гидам)";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е) посещение потребителями услуг не менее 5 объектов туристского показа;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ж) организ</w:t>
      </w:r>
      <w:r>
        <w:t>ация и проведение не менее 1 мастер-класса;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з) транспортное обслуживание потребителей услуг от места сбора до места назначения и обратно;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 xml:space="preserve">и) наличие сформированного исполнителем услуги маршрута перевозки, содержащего сведения об адресе места выезда (места </w:t>
      </w:r>
      <w:r>
        <w:t>сбора), наименовании объектов туристского показа по пути следования, название и населенный пункт гостиницы, в которой будут размещаться потребители услуг, а также предприятий питания.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 xml:space="preserve">Подключение исполнителей услуги к информационной системе осуществляется </w:t>
      </w:r>
      <w:r>
        <w:t>автономным учреждением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Республики. Подключение к информационной системе, криптографическая защита каналов связ</w:t>
      </w:r>
      <w:r>
        <w:t>и осуществляется за счет собственных средств исполнителей услуги.";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абзацы четвертый и пятый пункта 2 признать утратившими силу;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пункт 1 раздела VI дополнить абзацем следующего содержания: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"Объем и качество оказания государственной услуги подтверждается ак</w:t>
      </w:r>
      <w:r>
        <w:t>том сдачи-приемки оказанной государственной услуги, подписываемым исполнителем услуги и родителями (законными представителями) потребителя услуги в соответствии с условиями договора.".</w:t>
      </w:r>
    </w:p>
    <w:p w:rsidR="00000000" w:rsidRDefault="00793243">
      <w:pPr>
        <w:pStyle w:val="ConsPlusNormal"/>
        <w:spacing w:before="240"/>
        <w:ind w:firstLine="540"/>
        <w:jc w:val="both"/>
      </w:pPr>
      <w:r>
        <w:t>2. Настоящий приказ вступает в силу через десять дней после дня его офи</w:t>
      </w:r>
      <w:r>
        <w:t>циального опубликования.</w:t>
      </w:r>
    </w:p>
    <w:p w:rsidR="00000000" w:rsidRDefault="00793243">
      <w:pPr>
        <w:pStyle w:val="ConsPlusNormal"/>
        <w:jc w:val="both"/>
      </w:pPr>
    </w:p>
    <w:p w:rsidR="00000000" w:rsidRDefault="00793243">
      <w:pPr>
        <w:pStyle w:val="ConsPlusNormal"/>
        <w:jc w:val="right"/>
      </w:pPr>
      <w:r>
        <w:t>Заместитель Председателя</w:t>
      </w:r>
    </w:p>
    <w:p w:rsidR="00000000" w:rsidRDefault="00793243">
      <w:pPr>
        <w:pStyle w:val="ConsPlusNormal"/>
        <w:jc w:val="right"/>
      </w:pPr>
      <w:r>
        <w:t>Кабинета Министров</w:t>
      </w:r>
    </w:p>
    <w:p w:rsidR="00000000" w:rsidRDefault="00793243">
      <w:pPr>
        <w:pStyle w:val="ConsPlusNormal"/>
        <w:jc w:val="right"/>
      </w:pPr>
      <w:r>
        <w:t>Чувашской Республики -</w:t>
      </w:r>
    </w:p>
    <w:p w:rsidR="00000000" w:rsidRDefault="00793243">
      <w:pPr>
        <w:pStyle w:val="ConsPlusNormal"/>
        <w:jc w:val="right"/>
      </w:pPr>
      <w:r>
        <w:t>министр</w:t>
      </w:r>
    </w:p>
    <w:p w:rsidR="00000000" w:rsidRDefault="00793243">
      <w:pPr>
        <w:pStyle w:val="ConsPlusNormal"/>
        <w:jc w:val="right"/>
      </w:pPr>
      <w:r>
        <w:t>Д.И.КРАСНОВ</w:t>
      </w:r>
    </w:p>
    <w:p w:rsidR="00000000" w:rsidRDefault="00793243">
      <w:pPr>
        <w:pStyle w:val="ConsPlusNormal"/>
        <w:jc w:val="both"/>
      </w:pPr>
    </w:p>
    <w:p w:rsidR="00000000" w:rsidRDefault="00793243">
      <w:pPr>
        <w:pStyle w:val="ConsPlusNormal"/>
        <w:jc w:val="both"/>
      </w:pPr>
    </w:p>
    <w:p w:rsidR="00793243" w:rsidRDefault="00793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3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43" w:rsidRDefault="00793243">
      <w:pPr>
        <w:spacing w:after="0" w:line="240" w:lineRule="auto"/>
      </w:pPr>
      <w:r>
        <w:separator/>
      </w:r>
    </w:p>
  </w:endnote>
  <w:endnote w:type="continuationSeparator" w:id="0">
    <w:p w:rsidR="00793243" w:rsidRDefault="0079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2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E2B2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2B2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E2B2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2B2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9324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2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E2B2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2B2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E2B2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2B2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9324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43" w:rsidRDefault="00793243">
      <w:pPr>
        <w:spacing w:after="0" w:line="240" w:lineRule="auto"/>
      </w:pPr>
      <w:r>
        <w:separator/>
      </w:r>
    </w:p>
  </w:footnote>
  <w:footnote w:type="continuationSeparator" w:id="0">
    <w:p w:rsidR="00793243" w:rsidRDefault="0079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ЧР от 16.05.2023 N 96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экономического развития и иму...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:rsidR="00000000" w:rsidRDefault="007932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9324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B24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5085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932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ЧР от 16.05.2023 N 96 "О внесении изменений в приказ Министерства экономического развития и и</w:t>
          </w:r>
          <w:r>
            <w:rPr>
              <w:rFonts w:ascii="Tahoma" w:hAnsi="Tahoma" w:cs="Tahoma"/>
              <w:sz w:val="16"/>
              <w:szCs w:val="16"/>
            </w:rPr>
            <w:t>му...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2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:rsidR="00000000" w:rsidRDefault="007932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932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24"/>
    <w:rsid w:val="00793243"/>
    <w:rsid w:val="008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6236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ЧР от 16.05.2023 N 96"О внесении изменений в приказ Министерства экономического развития и имущественных отношений Чувашской Республики от 5 августа 2022 г. N 101"(Зарегистрировано в Госслужбе ЧР по делам юстиции 18.05.2023 N 8552</vt:lpstr>
    </vt:vector>
  </TitlesOfParts>
  <Company>КонсультантПлюс Версия 4023.00.50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ЧР от 16.05.2023 N 96"О внесении изменений в приказ Министерства экономического развития и имущественных отношений Чувашской Республики от 5 августа 2022 г. N 101"(Зарегистрировано в Госслужбе ЧР по делам юстиции 18.05.2023 N 8552</dc:title>
  <dc:creator>Молякова Наталья Николаевна</dc:creator>
  <cp:lastModifiedBy>Молякова Наталья Николаевна</cp:lastModifiedBy>
  <cp:revision>2</cp:revision>
  <dcterms:created xsi:type="dcterms:W3CDTF">2024-11-14T06:44:00Z</dcterms:created>
  <dcterms:modified xsi:type="dcterms:W3CDTF">2024-11-14T06:44:00Z</dcterms:modified>
</cp:coreProperties>
</file>