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376DE5" w:rsidRDefault="007E58EA" w:rsidP="00376DE5">
      <w:pPr>
        <w:tabs>
          <w:tab w:val="left" w:pos="5970"/>
        </w:tabs>
        <w:jc w:val="center"/>
        <w:rPr>
          <w:b/>
          <w:bCs/>
          <w:color w:val="FF0000"/>
        </w:rPr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376DE5" w:rsidRDefault="007E58EA" w:rsidP="00376DE5">
      <w:pPr>
        <w:tabs>
          <w:tab w:val="left" w:pos="5970"/>
        </w:tabs>
        <w:jc w:val="center"/>
        <w:rPr>
          <w:b/>
          <w:bCs/>
        </w:rPr>
      </w:pPr>
      <w:r>
        <w:rPr>
          <w:b/>
          <w:bCs/>
        </w:rPr>
        <w:t>АРЕНДЫ ЗЕМЕЛЬНОГО УЧАСТКА, НАХОДЯЩЕГОСЯ В</w:t>
      </w:r>
      <w:r w:rsidR="00376DE5">
        <w:rPr>
          <w:b/>
          <w:bCs/>
        </w:rPr>
        <w:t xml:space="preserve"> </w:t>
      </w:r>
    </w:p>
    <w:p w:rsidR="007E58EA" w:rsidRDefault="00CC276B" w:rsidP="00376DE5">
      <w:pPr>
        <w:tabs>
          <w:tab w:val="left" w:pos="5970"/>
        </w:tabs>
        <w:jc w:val="center"/>
      </w:pPr>
      <w:r>
        <w:rPr>
          <w:b/>
          <w:bCs/>
        </w:rPr>
        <w:t>МУНИЦИПАЛЬНОЙ</w:t>
      </w:r>
      <w:r w:rsidR="007E58EA">
        <w:rPr>
          <w:b/>
          <w:bCs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6DE5">
        <w:rPr>
          <w:rFonts w:ascii="Times New Roman" w:hAnsi="Times New Roman" w:cs="Times New Roman"/>
          <w:bCs/>
          <w:sz w:val="24"/>
          <w:szCs w:val="24"/>
        </w:rPr>
        <w:t>г. Алатырь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</w:t>
      </w:r>
      <w:r w:rsidR="00F9645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«__» ________20</w:t>
      </w:r>
      <w:r w:rsidR="00F96458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 xml:space="preserve">Алатырского </w:t>
      </w:r>
      <w:r w:rsidR="00F96458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______________________________действующий на основании __________,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 w:rsidR="00F964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76B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назначения,</w:t>
      </w:r>
      <w:r w:rsidR="00C1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C276B">
        <w:rPr>
          <w:rFonts w:ascii="Times New Roman" w:hAnsi="Times New Roman" w:cs="Times New Roman"/>
          <w:b/>
          <w:sz w:val="24"/>
          <w:szCs w:val="24"/>
        </w:rPr>
        <w:t>21:06:000000:1918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C276B">
        <w:rPr>
          <w:rFonts w:ascii="Times New Roman" w:hAnsi="Times New Roman" w:cs="Times New Roman"/>
          <w:sz w:val="24"/>
          <w:szCs w:val="24"/>
        </w:rPr>
        <w:t>58998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атырский,</w:t>
      </w:r>
      <w:r w:rsidR="00CC27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 </w:t>
      </w:r>
      <w:r w:rsidR="00CC276B">
        <w:rPr>
          <w:rFonts w:ascii="Times New Roman" w:hAnsi="Times New Roman" w:cs="Times New Roman"/>
          <w:b/>
          <w:sz w:val="24"/>
          <w:szCs w:val="24"/>
        </w:rPr>
        <w:t>для сельскохозяйственного производства.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CC276B" w:rsidRPr="00CC276B" w:rsidRDefault="007E58EA" w:rsidP="00CC276B">
      <w:pPr>
        <w:pStyle w:val="a4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hAnsi="Times New Roman"/>
          <w:szCs w:val="24"/>
        </w:rPr>
        <w:t xml:space="preserve">1.3. </w:t>
      </w:r>
      <w:r w:rsidR="00376DE5">
        <w:rPr>
          <w:rFonts w:ascii="Times New Roman" w:hAnsi="Times New Roman"/>
          <w:szCs w:val="24"/>
        </w:rPr>
        <w:t>Сведения о зарегистрированных правах</w:t>
      </w:r>
      <w:r>
        <w:rPr>
          <w:rFonts w:ascii="Times New Roman" w:hAnsi="Times New Roman"/>
          <w:szCs w:val="24"/>
        </w:rPr>
        <w:t xml:space="preserve">: </w:t>
      </w:r>
      <w:r w:rsidR="00CC276B" w:rsidRPr="00CC276B">
        <w:rPr>
          <w:rFonts w:eastAsia="Calibri"/>
        </w:rPr>
        <w:t xml:space="preserve">Муниципальное образование «Алатырского муниципальный округ Чувашской Республики» (государственная регистрация права 21:06:000000:1918-21/042/2023-1 от 03.07.2023); </w:t>
      </w:r>
    </w:p>
    <w:p w:rsidR="00CC276B" w:rsidRPr="00CC276B" w:rsidRDefault="007E58EA" w:rsidP="00CC276B">
      <w:pPr>
        <w:pStyle w:val="a4"/>
        <w:ind w:firstLine="709"/>
        <w:jc w:val="both"/>
        <w:rPr>
          <w:rFonts w:eastAsia="Calibri"/>
        </w:rPr>
      </w:pPr>
      <w:r>
        <w:rPr>
          <w:rFonts w:ascii="Times New Roman" w:hAnsi="Times New Roman"/>
          <w:szCs w:val="24"/>
        </w:rPr>
        <w:t>1.4. Существующие ограничени</w:t>
      </w:r>
      <w:proofErr w:type="gramStart"/>
      <w:r>
        <w:rPr>
          <w:rFonts w:ascii="Times New Roman" w:hAnsi="Times New Roman"/>
          <w:szCs w:val="24"/>
        </w:rPr>
        <w:t>я(</w:t>
      </w:r>
      <w:proofErr w:type="gramEnd"/>
      <w:r>
        <w:rPr>
          <w:rFonts w:ascii="Times New Roman" w:hAnsi="Times New Roman"/>
          <w:szCs w:val="24"/>
        </w:rPr>
        <w:t xml:space="preserve">обременения) права: </w:t>
      </w:r>
      <w:r w:rsidR="00CC276B" w:rsidRPr="00CC276B">
        <w:rPr>
          <w:rFonts w:eastAsia="Calibri"/>
        </w:rPr>
        <w:t xml:space="preserve">На земельный участок установлено ограничение использования и </w:t>
      </w:r>
      <w:proofErr w:type="gramStart"/>
      <w:r w:rsidR="00CC276B" w:rsidRPr="00CC276B">
        <w:rPr>
          <w:rFonts w:eastAsia="Calibri"/>
        </w:rPr>
        <w:t>обременения</w:t>
      </w:r>
      <w:proofErr w:type="gramEnd"/>
      <w:r w:rsidR="00CC276B" w:rsidRPr="00CC276B">
        <w:rPr>
          <w:rFonts w:eastAsia="Calibri"/>
        </w:rPr>
        <w:t xml:space="preserve"> предусмотренные </w:t>
      </w:r>
      <w:proofErr w:type="spellStart"/>
      <w:r w:rsidR="00CC276B" w:rsidRPr="00CC276B">
        <w:rPr>
          <w:rFonts w:eastAsia="Calibri"/>
        </w:rPr>
        <w:t>ст.ст</w:t>
      </w:r>
      <w:proofErr w:type="spellEnd"/>
      <w:r w:rsidR="00CC276B" w:rsidRPr="00CC276B">
        <w:rPr>
          <w:rFonts w:eastAsia="Calibri"/>
        </w:rPr>
        <w:t xml:space="preserve">. 56 Земельного кодекса Российской Федерации от 25.10.2001 г. №136 – ФЗ. 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0" w:name="sub_7014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0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органам государственного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2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2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lastRenderedPageBreak/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3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3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F96458" w:rsidRDefault="00F96458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B0154C" w:rsidRPr="00711B41" w:rsidRDefault="00B0154C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94C2B"/>
    <w:rsid w:val="0032462A"/>
    <w:rsid w:val="00376DE5"/>
    <w:rsid w:val="004572A5"/>
    <w:rsid w:val="004C3B60"/>
    <w:rsid w:val="005717C2"/>
    <w:rsid w:val="005A03CB"/>
    <w:rsid w:val="005C696C"/>
    <w:rsid w:val="00647F5F"/>
    <w:rsid w:val="007A53D5"/>
    <w:rsid w:val="007E58EA"/>
    <w:rsid w:val="00916566"/>
    <w:rsid w:val="00A753C1"/>
    <w:rsid w:val="00A92BE7"/>
    <w:rsid w:val="00B0154C"/>
    <w:rsid w:val="00BE4472"/>
    <w:rsid w:val="00BF1B54"/>
    <w:rsid w:val="00C1244A"/>
    <w:rsid w:val="00CC276B"/>
    <w:rsid w:val="00D40833"/>
    <w:rsid w:val="00F96458"/>
    <w:rsid w:val="00FE776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2020-10-09T06:34:00Z</dcterms:created>
  <dcterms:modified xsi:type="dcterms:W3CDTF">2023-09-12T13:32:00Z</dcterms:modified>
</cp:coreProperties>
</file>