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08" w:type="dxa"/>
        <w:tblInd w:w="-459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425"/>
        <w:gridCol w:w="503"/>
        <w:gridCol w:w="283"/>
        <w:gridCol w:w="297"/>
        <w:gridCol w:w="4500"/>
      </w:tblGrid>
      <w:tr>
        <w:tblPrEx/>
        <w:trPr>
          <w:trHeight w:val="719"/>
        </w:trPr>
        <w:tc>
          <w:tcPr>
            <w:tcW w:w="4425" w:type="dxa"/>
            <w:vAlign w:val="top"/>
            <w:textDirection w:val="lrTb"/>
            <w:noWrap w:val="false"/>
          </w:tcPr>
          <w:p>
            <w:pPr>
              <w:pStyle w:val="862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gridSpan w:val="3"/>
            <w:tcBorders>
              <w:left w:val="none" w:color="000000" w:sz="4" w:space="0"/>
            </w:tcBorders>
            <w:tcW w:w="1083" w:type="dxa"/>
            <w:vAlign w:val="top"/>
            <w:textDirection w:val="lrTb"/>
            <w:noWrap w:val="false"/>
          </w:tcPr>
          <w:p>
            <w:pPr>
              <w:pStyle w:val="862"/>
              <w:jc w:val="right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3194" cy="514589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194" cy="5145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98pt;height:40.52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W w:w="4500" w:type="dxa"/>
            <w:vAlign w:val="top"/>
            <w:textDirection w:val="lrTb"/>
            <w:noWrap w:val="false"/>
          </w:tcPr>
          <w:p>
            <w:pPr>
              <w:pStyle w:val="86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862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ЧĂВАШ PЕСПУБЛИКИН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ФИЗКУЛЬТУР</w:t>
            </w:r>
            <w:r>
              <w:rPr>
                <w:b/>
                <w:sz w:val="20"/>
                <w:szCs w:val="20"/>
                <w:lang w:val="en-US"/>
              </w:rPr>
              <w:t xml:space="preserve">Ă</w:t>
            </w:r>
            <w:r>
              <w:rPr>
                <w:b/>
                <w:sz w:val="20"/>
                <w:szCs w:val="20"/>
              </w:rPr>
              <w:t xml:space="preserve">ПА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СПОРТ </w:t>
            </w:r>
            <w:r>
              <w:rPr>
                <w:b/>
                <w:sz w:val="20"/>
                <w:szCs w:val="20"/>
                <w:lang w:val="en-US"/>
              </w:rPr>
            </w:r>
            <w:r>
              <w:rPr>
                <w:b/>
                <w:sz w:val="20"/>
                <w:szCs w:val="20"/>
                <w:lang w:val="en-US"/>
              </w:rPr>
            </w:r>
          </w:p>
          <w:p>
            <w:pPr>
              <w:pStyle w:val="862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МИНИСТЕPСТВИ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ПРИКАЗ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86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  _______________ №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Шупашкар хули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86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97" w:type="dxa"/>
            <w:vAlign w:val="top"/>
            <w:textDirection w:val="lrTb"/>
            <w:noWrap w:val="false"/>
          </w:tcPr>
          <w:p>
            <w:pPr>
              <w:pStyle w:val="862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МИНИСТЕPСТВО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862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ФИЗИЧЕСКОЙ КУЛЬТУРЫ И СПОРТА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862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ЧУВАШСКОЙ PЕСПУБЛИКИ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862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862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ПРИКАЗ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86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  № _______________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Чебоксары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62"/>
        <w:jc w:val="right"/>
        <w:spacing w:before="140"/>
      </w:pPr>
      <w:r/>
      <w:r/>
    </w:p>
    <w:tbl>
      <w:tblPr>
        <w:tblpPr w:horzAnchor="margin" w:tblpXSpec="left" w:vertAnchor="text" w:tblpY="125" w:leftFromText="180" w:topFromText="0" w:rightFromText="180" w:bottomFromText="0"/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8"/>
      </w:tblGrid>
      <w:tr>
        <w:tblPrEx/>
        <w:trPr>
          <w:trHeight w:val="112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62"/>
              <w:jc w:val="both"/>
              <w:rPr>
                <w:rFonts w:eastAsia="DejaVu Sans" w:cs="DejaVu Sans"/>
                <w:b/>
                <w:sz w:val="26"/>
                <w:szCs w:val="26"/>
              </w:rPr>
              <w:framePr w:hSpace="180" w:wrap="around" w:vAnchor="text" w:hAnchor="margin" w:y="125"/>
            </w:pPr>
            <w:r>
              <w:rPr>
                <w:rFonts w:eastAsia="DejaVu Sans" w:cs="DejaVu Sans"/>
                <w:b/>
                <w:sz w:val="26"/>
                <w:szCs w:val="26"/>
              </w:rPr>
              <w:t xml:space="preserve">Об утверждении Правил аккредитации журналистов </w:t>
            </w:r>
            <w:r>
              <w:rPr>
                <w:rFonts w:eastAsia="DejaVu Sans" w:cs="DejaVu Sans"/>
                <w:b/>
                <w:sz w:val="26"/>
                <w:szCs w:val="26"/>
              </w:rPr>
              <w:t xml:space="preserve">средств массовой  информации при Министерстве физической культуры и спорта Чувашской Республики</w:t>
            </w:r>
            <w:r>
              <w:rPr>
                <w:rFonts w:eastAsia="DejaVu Sans" w:cs="DejaVu Sans"/>
                <w:b/>
                <w:sz w:val="26"/>
                <w:szCs w:val="26"/>
              </w:rPr>
            </w:r>
            <w:r>
              <w:rPr>
                <w:rFonts w:eastAsia="DejaVu Sans" w:cs="DejaVu Sans"/>
                <w:b/>
                <w:sz w:val="26"/>
                <w:szCs w:val="26"/>
              </w:rPr>
            </w:r>
          </w:p>
          <w:p>
            <w:pPr>
              <w:pStyle w:val="862"/>
              <w:jc w:val="both"/>
              <w:rPr>
                <w:rFonts w:eastAsia="DejaVu Sans" w:cs="DejaVu Sans"/>
                <w:sz w:val="26"/>
                <w:szCs w:val="26"/>
              </w:rPr>
              <w:framePr w:hSpace="180" w:wrap="around" w:vAnchor="text" w:hAnchor="margin" w:y="125"/>
            </w:pPr>
            <w:r>
              <w:rPr>
                <w:rFonts w:eastAsia="DejaVu Sans" w:cs="DejaVu Sans"/>
                <w:sz w:val="26"/>
                <w:szCs w:val="26"/>
              </w:rPr>
            </w:r>
            <w:r>
              <w:rPr>
                <w:rFonts w:eastAsia="DejaVu Sans" w:cs="DejaVu Sans"/>
                <w:sz w:val="26"/>
                <w:szCs w:val="26"/>
              </w:rPr>
            </w:r>
            <w:r>
              <w:rPr>
                <w:rFonts w:eastAsia="DejaVu Sans" w:cs="DejaVu Sans"/>
                <w:sz w:val="26"/>
                <w:szCs w:val="26"/>
              </w:rPr>
            </w:r>
          </w:p>
        </w:tc>
      </w:tr>
    </w:tbl>
    <w:p>
      <w:pPr>
        <w:pStyle w:val="86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862"/>
        <w:ind w:firstLine="540"/>
        <w:jc w:val="both"/>
        <w:rPr>
          <w:rFonts w:eastAsia="DejaVu Sans"/>
          <w:sz w:val="26"/>
          <w:szCs w:val="26"/>
        </w:rPr>
      </w:pPr>
      <w:r>
        <w:rPr>
          <w:rFonts w:eastAsia="DejaVu Sans"/>
          <w:sz w:val="26"/>
          <w:szCs w:val="26"/>
        </w:rPr>
      </w:r>
      <w:r>
        <w:rPr>
          <w:rFonts w:eastAsia="DejaVu Sans"/>
          <w:sz w:val="26"/>
          <w:szCs w:val="26"/>
        </w:rPr>
      </w:r>
      <w:r>
        <w:rPr>
          <w:rFonts w:eastAsia="DejaVu Sans"/>
          <w:sz w:val="26"/>
          <w:szCs w:val="26"/>
        </w:rPr>
      </w:r>
    </w:p>
    <w:p>
      <w:pPr>
        <w:pStyle w:val="862"/>
        <w:ind w:firstLine="540"/>
        <w:jc w:val="both"/>
        <w:rPr>
          <w:rFonts w:eastAsia="DejaVu Sans"/>
          <w:sz w:val="26"/>
          <w:szCs w:val="26"/>
        </w:rPr>
      </w:pPr>
      <w:r>
        <w:rPr>
          <w:rFonts w:eastAsia="DejaVu Sans"/>
          <w:sz w:val="26"/>
          <w:szCs w:val="26"/>
        </w:rPr>
      </w:r>
      <w:r>
        <w:rPr>
          <w:rFonts w:eastAsia="DejaVu Sans"/>
          <w:sz w:val="26"/>
          <w:szCs w:val="26"/>
        </w:rPr>
      </w:r>
      <w:r>
        <w:rPr>
          <w:rFonts w:eastAsia="DejaVu Sans"/>
          <w:sz w:val="26"/>
          <w:szCs w:val="26"/>
        </w:rPr>
      </w:r>
    </w:p>
    <w:p>
      <w:pPr>
        <w:pStyle w:val="862"/>
        <w:ind w:firstLine="540"/>
        <w:jc w:val="both"/>
        <w:rPr>
          <w:rFonts w:eastAsia="DejaVu Sans"/>
          <w:sz w:val="26"/>
          <w:szCs w:val="26"/>
        </w:rPr>
      </w:pPr>
      <w:r>
        <w:rPr>
          <w:rFonts w:eastAsia="DejaVu Sans"/>
          <w:sz w:val="26"/>
          <w:szCs w:val="26"/>
        </w:rPr>
      </w:r>
      <w:r>
        <w:rPr>
          <w:rFonts w:eastAsia="DejaVu Sans"/>
          <w:sz w:val="26"/>
          <w:szCs w:val="26"/>
        </w:rPr>
      </w:r>
      <w:r>
        <w:rPr>
          <w:rFonts w:eastAsia="DejaVu Sans"/>
          <w:sz w:val="26"/>
          <w:szCs w:val="26"/>
        </w:rPr>
      </w:r>
    </w:p>
    <w:p>
      <w:pPr>
        <w:pStyle w:val="862"/>
        <w:ind w:firstLine="540"/>
        <w:jc w:val="both"/>
        <w:rPr>
          <w:rFonts w:eastAsia="DejaVu Sans"/>
          <w:sz w:val="26"/>
          <w:szCs w:val="26"/>
        </w:rPr>
      </w:pPr>
      <w:r>
        <w:rPr>
          <w:rFonts w:eastAsia="DejaVu Sans"/>
          <w:sz w:val="26"/>
          <w:szCs w:val="26"/>
        </w:rPr>
      </w:r>
      <w:r>
        <w:rPr>
          <w:rFonts w:eastAsia="DejaVu Sans"/>
          <w:sz w:val="26"/>
          <w:szCs w:val="26"/>
        </w:rPr>
      </w:r>
      <w:r>
        <w:rPr>
          <w:rFonts w:eastAsia="DejaVu Sans"/>
          <w:sz w:val="26"/>
          <w:szCs w:val="26"/>
        </w:rPr>
      </w:r>
    </w:p>
    <w:p>
      <w:pPr>
        <w:pStyle w:val="869"/>
        <w:ind w:firstLine="0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69"/>
        <w:ind w:firstLine="0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69"/>
        <w:ind w:firstLine="851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к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з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ы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ю: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862"/>
        <w:contextualSpacing w:val="0"/>
        <w:ind w:firstLine="709"/>
        <w:jc w:val="both"/>
        <w:spacing w:before="0" w:after="0" w:line="240" w:lineRule="auto"/>
        <w:rPr>
          <w:rFonts w:ascii="PT Astra Serif" w:hAnsi="PT Astra Serif" w:cs="PT Astra Serif"/>
          <w:b/>
          <w:bCs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</w:rPr>
        <w:t xml:space="preserve">1.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В с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оответствии со статьей 48 Закона Российской Федерации </w:t>
        <w:br/>
        <w:t xml:space="preserve">«О средствах массовой информации» в целях обеспечения необходимых условий для профессиональной деятельности журналистов по распространению объективной информации о деятельности Министерства физической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культуры и спорта Чувашской Республики  п р и к а з ы в а ю:</w:t>
      </w: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PT Astra Serif" w:hAnsi="PT Astra Serif" w:cs="PT Astra Serif"/>
          <w:sz w:val="26"/>
          <w:szCs w:val="26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1. Утверд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</w:rPr>
        <w:t xml:space="preserve">ить прилагаемые Правила аккредитации журналистов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</w:rPr>
        <w:t xml:space="preserve"> средств массовой информации при Министерстве физической культуры и спорта Чу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вашской Республики.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PT Astra Serif" w:hAnsi="PT Astra Serif" w:cs="PT Astra Serif"/>
          <w:sz w:val="26"/>
          <w:szCs w:val="26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2. Признать утратившими силу: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PT Astra Serif" w:hAnsi="PT Astra Serif" w:cs="PT Astra Serif"/>
          <w:sz w:val="26"/>
          <w:szCs w:val="26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приказ Министерства физической культуры и спорта Чувашской Республики от 7 ноября 2018 г. № 388 «О утверждении Правил аккредитации журналистов средств массовой информации при Министерстве физической культуры и спорта Чувашской Республики»;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PT Astra Serif" w:hAnsi="PT Astra Serif" w:cs="PT Astra Serif"/>
          <w:b w:val="0"/>
          <w:bCs w:val="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приказ Министерства физической культуры и спорта Чувашской Республики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 от 30 июня 2021 г. № 316 «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6"/>
          <w:szCs w:val="26"/>
        </w:rPr>
        <w:t xml:space="preserve">О внесении изменений в некоторые приказы</w:t>
        <w:br/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6"/>
          <w:szCs w:val="26"/>
        </w:rPr>
        <w:t xml:space="preserve">Министерства по физической культуре, спорту и туризму 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6"/>
          <w:szCs w:val="26"/>
        </w:rPr>
        <w:t xml:space="preserve">Чувашской Республики и приказы Министерства 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6"/>
          <w:szCs w:val="26"/>
        </w:rPr>
        <w:t xml:space="preserve">физической культуры и спорта Чувашской Республики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</w:r>
      <w:r>
        <w:rPr>
          <w:rFonts w:ascii="PT Astra Serif" w:hAnsi="PT Astra Serif" w:cs="PT Astra Serif"/>
          <w:b w:val="0"/>
          <w:bCs w:val="0"/>
          <w:sz w:val="26"/>
          <w:szCs w:val="26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3. Настоящий приказ вступает в силу через десять дней после дня его официального опубликования.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851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firstLine="851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firstLine="851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firstLine="0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Министр                                                                                                           В.В. Петров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firstLine="851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862"/>
        <w:ind w:firstLine="851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62"/>
        <w:ind w:firstLine="851"/>
        <w:jc w:val="both"/>
        <w:rPr>
          <w:rFonts w:eastAsia="DejaVu Sans"/>
          <w:sz w:val="26"/>
          <w:szCs w:val="26"/>
        </w:rPr>
      </w:pPr>
      <w:r>
        <w:rPr>
          <w:rFonts w:eastAsia="DejaVu Sans"/>
          <w:sz w:val="26"/>
          <w:szCs w:val="26"/>
        </w:rPr>
      </w:r>
      <w:r>
        <w:rPr>
          <w:rFonts w:eastAsia="DejaVu Sans"/>
          <w:sz w:val="26"/>
          <w:szCs w:val="26"/>
        </w:rPr>
      </w:r>
      <w:r>
        <w:rPr>
          <w:rFonts w:eastAsia="DejaVu Sans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2"/>
        <w:jc w:val="both"/>
        <w:rPr>
          <w:sz w:val="26"/>
          <w:szCs w:val="26"/>
        </w:rPr>
      </w:pPr>
      <w:r>
        <w:rPr>
          <w:bCs/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2"/>
        <w:ind w:left="5812"/>
        <w:jc w:val="center"/>
        <w:rPr>
          <w:rFonts w:ascii="PT Astra Serif" w:hAnsi="PT Astra Serif" w:cs="PT Astra Serif"/>
          <w:sz w:val="26"/>
          <w:szCs w:val="26"/>
        </w:rPr>
        <w:outlineLvl w:val="0"/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Приложение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62"/>
        <w:ind w:left="5812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к приказу Министерства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62"/>
        <w:ind w:left="5812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физической культуры и спорта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62"/>
        <w:ind w:left="5812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Чувашской Республики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62"/>
        <w:ind w:left="5812"/>
        <w:jc w:val="center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от ____________20__ г. 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№ ___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en-US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left="5812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contextualSpacing w:val="0"/>
        <w:ind w:left="0" w:firstLine="709"/>
        <w:jc w:val="both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703"/>
        <w:contextualSpacing w:val="0"/>
        <w:ind w:left="0" w:firstLine="0"/>
        <w:jc w:val="center"/>
        <w:rPr>
          <w:rFonts w:ascii="PT Astra Serif" w:hAnsi="PT Astra Serif" w:cs="PT Astra Serif"/>
          <w:b/>
        </w:rPr>
        <w:suppressLineNumbers w:val="0"/>
      </w:pP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ПРАВИЛА</w:t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p>
      <w:pPr>
        <w:pStyle w:val="703"/>
        <w:contextualSpacing w:val="0"/>
        <w:ind w:left="0" w:firstLine="0"/>
        <w:jc w:val="center"/>
        <w:rPr>
          <w:rFonts w:ascii="PT Astra Serif" w:hAnsi="PT Astra Serif" w:eastAsia="PT Astra Serif" w:cs="PT Astra Serif"/>
          <w:b/>
          <w:bCs/>
          <w:sz w:val="26"/>
          <w:szCs w:val="26"/>
          <w:lang w:eastAsia="ru-RU"/>
        </w:rPr>
        <w:suppressLineNumbers w:val="0"/>
      </w:pP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аккредитации журналистов 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средств массовой информации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при </w:t>
      </w:r>
      <w:r>
        <w:rPr>
          <w:rFonts w:ascii="PT Astra Serif" w:hAnsi="PT Astra Serif" w:eastAsia="PT Astra Serif" w:cs="PT Astra Serif"/>
          <w:b/>
          <w:bCs/>
          <w:sz w:val="26"/>
          <w:szCs w:val="26"/>
          <w:lang w:eastAsia="ru-RU"/>
        </w:rPr>
      </w:r>
      <w:r>
        <w:rPr>
          <w:rFonts w:ascii="PT Astra Serif" w:hAnsi="PT Astra Serif" w:eastAsia="PT Astra Serif" w:cs="PT Astra Serif"/>
          <w:b/>
          <w:bCs/>
          <w:sz w:val="26"/>
          <w:szCs w:val="26"/>
          <w:lang w:eastAsia="ru-RU"/>
        </w:rPr>
      </w:r>
    </w:p>
    <w:p>
      <w:pPr>
        <w:pStyle w:val="703"/>
        <w:contextualSpacing w:val="0"/>
        <w:ind w:left="0" w:firstLine="0"/>
        <w:jc w:val="center"/>
        <w:rPr>
          <w:rFonts w:ascii="PT Astra Serif" w:hAnsi="PT Astra Serif" w:eastAsia="PT Astra Serif" w:cs="PT Astra Serif"/>
          <w:b/>
          <w:bCs/>
          <w:sz w:val="26"/>
          <w:szCs w:val="26"/>
          <w:lang w:eastAsia="ru-RU"/>
        </w:rPr>
        <w:suppressLineNumbers w:val="0"/>
      </w:pP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Министерстве физической культуры и спорта Чувашской Республики</w:t>
      </w:r>
      <w:r>
        <w:rPr>
          <w:rFonts w:ascii="PT Astra Serif" w:hAnsi="PT Astra Serif" w:eastAsia="PT Astra Serif" w:cs="PT Astra Serif"/>
          <w:b/>
          <w:bCs/>
          <w:sz w:val="26"/>
          <w:szCs w:val="26"/>
          <w:lang w:eastAsia="ru-RU"/>
        </w:rPr>
      </w:r>
      <w:r>
        <w:rPr>
          <w:rFonts w:ascii="PT Astra Serif" w:hAnsi="PT Astra Serif" w:eastAsia="PT Astra Serif" w:cs="PT Astra Serif"/>
          <w:b/>
          <w:bCs/>
          <w:sz w:val="26"/>
          <w:szCs w:val="26"/>
          <w:lang w:eastAsia="ru-RU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  <w:b/>
        </w:rPr>
        <w:suppressLineNumbers w:val="0"/>
      </w:pP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p>
      <w:pPr>
        <w:pStyle w:val="703"/>
        <w:contextualSpacing w:val="0"/>
        <w:ind w:left="0" w:firstLine="0"/>
        <w:jc w:val="center"/>
        <w:rPr>
          <w:rFonts w:ascii="PT Astra Serif" w:hAnsi="PT Astra Serif" w:eastAsia="PT Astra Serif" w:cs="PT Astra Serif"/>
          <w:sz w:val="26"/>
          <w:szCs w:val="26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1. Общие положения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</w:p>
    <w:p>
      <w:pPr>
        <w:pStyle w:val="703"/>
        <w:contextualSpacing w:val="0"/>
        <w:ind w:left="0" w:firstLine="709"/>
        <w:jc w:val="center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1.1. Аккредитация журналистов средств массовой информации (далее также соответственно – журналист, СМИ) при Министерстве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физической культуры и спорта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Чувашской Республики (далее также – Минспорт Чувашии) осуществляется пресс-секретарем министра физической культуры и спорта Чувашской Республики (далее – пресс-секретарь) в целях: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1) обеспечения полного и оперативного информирования населения о деятельности Министерства;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2) обеспечения журналистов объективной информацией о деятельности Министерства.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Аккредитация журналистов при Минспорте Чувашии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 осуществляется в соответствии с Законом Российской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Федерации «О средствах массовой информации» (далее – Закон Российской Федерации), а также настоящими Правилами и распространяется на мероприятия, проводимые в очном режиме или в режиме видеоконференцсвязи с использованием программно-технических комплексов.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1.2. Аккредитация предоставляется журналистам редакций СМИ, зарегистрированных в соответствии со статьей 8 Закона Российской Федерации, имеющим задание от своих редакций по освещению деятельности Минспорта Чувашии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 и подведомственных учреждений Минспорта Чувашии.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Технические специалисты, сопровождающие аккредитованных журналистов, имеют право вносить и выносить звукозаписывающую, съемочную и осветительную аппаратуру в помещение, в котором проводится мероприятие с участием руководства Минспорта Чувашии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 (далее – также мероприятие).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703"/>
        <w:contextualSpacing w:val="0"/>
        <w:ind w:left="0" w:firstLine="0"/>
        <w:jc w:val="center"/>
        <w:rPr>
          <w:rFonts w:ascii="PT Astra Serif" w:hAnsi="PT Astra Serif" w:eastAsia="PT Astra Serif" w:cs="PT Astra Serif"/>
          <w:sz w:val="26"/>
          <w:szCs w:val="26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2. Виды аккредитации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</w:p>
    <w:p>
      <w:pPr>
        <w:pStyle w:val="703"/>
        <w:contextualSpacing w:val="0"/>
        <w:ind w:left="0" w:firstLine="709"/>
        <w:jc w:val="center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2.1. Журналисты вправе оформить как постоянную, так и разовую аккредитацию.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2.2. Постоянная аккредитация при Минспорте Чувашии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проводится ежегодно и действует в течение одного календарного года.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2.3. Разовая аккредитация при Минспорте Чувашии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 осуществляется для журналистов, выполняющих задания редакций СМИ по освещению конкретного мероприятия.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2.4. На период временного отсутствия своего аккредитованного журналиста редакция СМИ может оформить разовую аккредитацию на другого журналиста.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703"/>
        <w:contextualSpacing w:val="0"/>
        <w:ind w:left="0" w:firstLine="0"/>
        <w:jc w:val="center"/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3. Порядок аккредитации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</w:p>
    <w:p>
      <w:pPr>
        <w:pStyle w:val="703"/>
        <w:contextualSpacing w:val="0"/>
        <w:ind w:left="0" w:firstLine="709"/>
        <w:jc w:val="center"/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3.1. Информация о порядке и сроках аккредитации размещается пресс-секретарем на главной странице Портала органов власти Чувашской Республики в информационно-телекоммуникационной сети «Интернет».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3.2. Заявка редакции СМИ на постоянную и разовую аккредитацию (далее – заявка) подается на имя министра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физической культуры и спорта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Чувашской Республики на официальном бланке редакци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и СМИ за подписью главного редактора, скрепленной печатью (при наличии). К заявке прилагаются заверенные главным редактором копия свидетельства о регистрации средства массовой информации или копия выписки из реестра зарегистрированных средств массовой инфо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рмации, выданная федеральным органом исполнительной власти, уполномоченным Правительством Российской Федерации осуществлять регистрацию средств массовой информации, или его территориальным органом либо копия лицензии на телевизионное вещание, радиовещание.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Заявка на аккредитацию должна содержать следующие сведения: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1) фамилию, имя, отчество (последнее – при наличии) журналиста, занимаемую должность, контактные телефоны (мобильный и рабочий);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2) фамилию, имя, отчество (последнее – при наличии) технического специалиста, сопровождающего журналиста, занимаемую должность, контактные телефоны (мобильный и рабочий);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3) название, дату и время проведения мероприятия (в случае разовой аккредитации);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4) перечень звукозаписывающей, съемочной и осветительной аппаратуры (в случае наличия), необходимой для работы журналиста.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Заявка представляется в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Минспорт Чувашии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 на бумажном носителе или направляется посредством электронной почты.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3.3. Заявки, не отвечающие требованиям, указанным в пункте 3.2 настоящих Правил, не рассматриваются. Уведомление о несоответствии заявки требованиям направляется в редакцию СМИ не позднее 3 рабочих дней со дня получения заявки.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3.4. Решение о постоянной аккредитации принимается на основании представленной заявки, соответствующей требованиям, указанным в пункте 3.2 настоящих Правил, министром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физической культуры и спорта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Чувашской Республики по представлению пресс-секретаря не позднее 14 календарных дней со дня получения заявки.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Решение о разовой аккредитации принимается на основании представленной заявки, соответствующей требованиям, указанным в пункте 3.2 настоящих Правил, министром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физической культуры и спорта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Чувашской Республики по представлению пресс-секретаря не позднее семи календарных дней со дня получения заявки.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Список аккредитованных журналистов размещается на главной странице Портала органов власти Чувашской Республики в информационно-телекоммуникационной сети «Интернет».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703"/>
        <w:contextualSpacing w:val="0"/>
        <w:ind w:left="0" w:firstLine="709"/>
        <w:jc w:val="center"/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4. Права аккредитованных журналистов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</w:p>
    <w:p>
      <w:pPr>
        <w:pStyle w:val="703"/>
        <w:contextualSpacing w:val="0"/>
        <w:ind w:left="0" w:firstLine="709"/>
        <w:jc w:val="center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Аккредитованные журналисты имеют право: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eastAsia="PT Astra Serif" w:cs="PT Astra Serif"/>
          <w:sz w:val="26"/>
          <w:szCs w:val="26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присутствовать на мероприятии с участием руководства Минспорта Чувашии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и, за исключением случаев, когда принято решение о проведении закрытого мероприятия;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заблаговременно получать информацию о предстоящих заседаниях, совещаниях и других мероприятиях, проводимых с участием руководства Минспорта Чувашии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получать официальную документацию, не содержащую сведений, составляющих государственную тайну, тексты заявлений, пресс-релизы;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eastAsia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знакомиться с предназначенными для публикации информационно-справочными материалами;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посещать пресс-конференции, брифинги и иные мероприятия, предназначенные специально для СМИ;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пользоваться технической (звукозаписывающей, съемочной, осветительной) аппаратурой, необходимой для выполнения профессиональных обязаннос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тей.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703"/>
        <w:contextualSpacing w:val="0"/>
        <w:ind w:left="0" w:firstLine="709"/>
        <w:jc w:val="center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703"/>
        <w:contextualSpacing w:val="0"/>
        <w:ind w:left="0" w:firstLine="0"/>
        <w:jc w:val="center"/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5. Обязанности аккредитованных журналист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ов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</w:p>
    <w:p>
      <w:pPr>
        <w:pStyle w:val="703"/>
        <w:contextualSpacing w:val="0"/>
        <w:ind w:left="0" w:firstLine="709"/>
        <w:jc w:val="center"/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eastAsia="PT Astra Serif" w:cs="PT Astra Serif"/>
          <w:sz w:val="26"/>
          <w:szCs w:val="26"/>
          <w:lang w:eastAsia="ru-RU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Аккредитованные журналисты обязаны: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eastAsia="PT Astra Serif" w:cs="PT Astra Serif"/>
          <w:sz w:val="26"/>
          <w:szCs w:val="26"/>
          <w:lang w:eastAsia="ru-RU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уважать права, законные интересы, честь и достоинство участников мероприятий и приглашенных лиц;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eastAsia="PT Astra Serif" w:cs="PT Astra Serif"/>
          <w:sz w:val="26"/>
          <w:szCs w:val="26"/>
          <w:lang w:eastAsia="ru-RU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не вмешиваться в порядок прове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дения мероприятий (устные высказывания или действия, имеющие цель привлечь к себе внимание присутствующих или прервать ход мероприятия; ведение фото- и видеосъемки, мешающей ходу мероприятия, а также другие действия, препятствующие проведению мероприятия);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eastAsia="PT Astra Serif" w:cs="PT Astra Serif"/>
          <w:sz w:val="26"/>
          <w:szCs w:val="26"/>
          <w:lang w:eastAsia="ru-RU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всесторонне и объективно информировать читателей, телезрителей и радиослушателей о мероприятии;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eastAsia="PT Astra Serif" w:cs="PT Astra Serif"/>
          <w:sz w:val="26"/>
          <w:szCs w:val="26"/>
          <w:lang w:eastAsia="ru-RU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не использовать свои профессиональные возможности в целях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СМИ;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eastAsia="PT Astra Serif" w:cs="PT Astra Serif"/>
          <w:sz w:val="26"/>
          <w:szCs w:val="26"/>
          <w:lang w:eastAsia="ru-RU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сообщать название, тематику и дату выхода телепрограммы, для которой проводится телевизионная и фотографическая съемка;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при осуществлении своей профессиональной деятельности не распространять не соответствующие действительности сведения о деятельности Минспорта Чувашии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и подведомственных учреждений Минспорта Чувашии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, сотрудников Мин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спорта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Чувашии.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703"/>
        <w:contextualSpacing w:val="0"/>
        <w:ind w:left="0" w:firstLine="0"/>
        <w:jc w:val="center"/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6. Прекращение или лишение аккредитаци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и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eastAsia="PT Astra Serif" w:cs="PT Astra Serif"/>
          <w:sz w:val="26"/>
          <w:szCs w:val="26"/>
          <w:lang w:eastAsia="ru-RU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6.1. Основанием для прекращения аккредитации является: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eastAsia="PT Astra Serif" w:cs="PT Astra Serif"/>
          <w:sz w:val="26"/>
          <w:szCs w:val="26"/>
          <w:lang w:eastAsia="ru-RU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прекращение либо приостановление деятельности редакции СМИ, с которым аккредитованный журналист состоит в трудовых или иных договорных отношениях, в соответствии с законодательством Российской Федерации;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eastAsia="PT Astra Serif" w:cs="PT Astra Serif"/>
          <w:sz w:val="26"/>
          <w:szCs w:val="26"/>
          <w:lang w:eastAsia="ru-RU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отзыв аккредитации журналиста по решению редакции СМИ;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eastAsia="PT Astra Serif" w:cs="PT Astra Serif"/>
          <w:sz w:val="26"/>
          <w:szCs w:val="26"/>
          <w:lang w:eastAsia="ru-RU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заявление аккредитованного журналиста о прекращении аккредитации;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увольнение аккредитованного журналиста из редакции СМИ, от которой он был аккредитован, прекращение трудовых или иных договорных отношений между журналистом и редакцией СМИ.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В случае прекращения трудовых или иных договорных отношений между журналистом и редакцией СМИ или отзыва аккредитации журналиста по решению редакции СМИ главный редактор незамедлительно информирует об этом Миниспорт Чувашии.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6.2. Журналист лишается аккредитации в случаях, установленных частью 5 статьи 48 Закона Российской Федерации.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  <w:t xml:space="preserve">6.3. 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  <w:t xml:space="preserve">Ж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  <w:t xml:space="preserve">урналист лишается аккредитации, если в соответствии со статьей 56.2 настоящего Закона признаны недействительными регистрация средства массовой информации, лицензия на вещание средства массовой информации, по заявке которого такой журналист был аккредитован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  <w:t xml:space="preserve">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6.4. Решение о лишении (прекращении) аккредитации журналиста принимает министр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физической культуры и спорта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Чувашской Республики по представлению пресс-секретаря с указанием причины в течение пяти рабочих дней со дня наступления оснований и случаев, предусмотренных пунктами 6.1 и 6.2 настоящих Правил.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6.5. Мотивированное р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ешение о лишении (прекращении) </w:t>
      </w:r>
      <w:bookmarkStart w:id="0" w:name="undefined"/>
      <w:r>
        <w:rPr>
          <w:rFonts w:ascii="PT Astra Serif" w:hAnsi="PT Astra Serif" w:eastAsia="PT Astra Serif" w:cs="PT Astra Serif"/>
          <w:sz w:val="26"/>
          <w:szCs w:val="26"/>
        </w:rPr>
      </w:r>
      <w:bookmarkEnd w:id="0"/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аккредитации журналиста направляется в редакцию СМИ в течение пяти рабочих дней со дня его принятия.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703"/>
        <w:contextualSpacing w:val="0"/>
        <w:ind w:left="0" w:firstLine="709"/>
        <w:jc w:val="both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left="5812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highlight w:val="none"/>
          <w:lang w:eastAsia="en-US"/>
        </w:rPr>
      </w: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1247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DejaVu Sans">
    <w:panose1 w:val="020B060303080402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PAGE   \* MERGEFORMAT</w:instrText>
    </w:r>
    <w:r>
      <w:rPr>
        <w:sz w:val="26"/>
        <w:szCs w:val="26"/>
      </w:rPr>
      <w:fldChar w:fldCharType="separate"/>
    </w:r>
    <w:r>
      <w:rPr>
        <w:sz w:val="26"/>
        <w:szCs w:val="26"/>
      </w:rPr>
      <w:t xml:space="preserve">2</w:t>
    </w:r>
    <w:r>
      <w:rPr>
        <w:sz w:val="26"/>
        <w:szCs w:val="26"/>
      </w:rPr>
      <w:fldChar w:fldCharType="end"/>
    </w:r>
    <w:r>
      <w:rPr>
        <w:sz w:val="26"/>
        <w:szCs w:val="26"/>
      </w:rPr>
    </w:r>
    <w:r>
      <w:rPr>
        <w:sz w:val="26"/>
        <w:szCs w:val="26"/>
      </w:rPr>
    </w:r>
  </w:p>
  <w:p>
    <w:pPr>
      <w:pStyle w:val="8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2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2"/>
    <w:next w:val="862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2"/>
    <w:next w:val="862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2"/>
    <w:next w:val="862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2"/>
    <w:next w:val="862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2"/>
    <w:next w:val="862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62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2"/>
    <w:next w:val="862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link w:val="704"/>
    <w:uiPriority w:val="10"/>
    <w:rPr>
      <w:sz w:val="48"/>
      <w:szCs w:val="48"/>
    </w:rPr>
  </w:style>
  <w:style w:type="paragraph" w:styleId="706">
    <w:name w:val="Subtitle"/>
    <w:basedOn w:val="862"/>
    <w:next w:val="862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link w:val="706"/>
    <w:uiPriority w:val="11"/>
    <w:rPr>
      <w:sz w:val="24"/>
      <w:szCs w:val="24"/>
    </w:rPr>
  </w:style>
  <w:style w:type="paragraph" w:styleId="708">
    <w:name w:val="Quote"/>
    <w:basedOn w:val="862"/>
    <w:next w:val="862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2"/>
    <w:next w:val="862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2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link w:val="712"/>
    <w:uiPriority w:val="99"/>
  </w:style>
  <w:style w:type="paragraph" w:styleId="714">
    <w:name w:val="Footer"/>
    <w:basedOn w:val="862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link w:val="714"/>
    <w:uiPriority w:val="99"/>
  </w:style>
  <w:style w:type="paragraph" w:styleId="716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next w:val="862"/>
    <w:link w:val="862"/>
    <w:qFormat/>
    <w:rPr>
      <w:sz w:val="28"/>
      <w:szCs w:val="24"/>
      <w:lang w:val="ru-RU" w:eastAsia="ru-RU" w:bidi="ar-SA"/>
    </w:rPr>
  </w:style>
  <w:style w:type="paragraph" w:styleId="863">
    <w:name w:val="Заголовок 1"/>
    <w:basedOn w:val="862"/>
    <w:next w:val="862"/>
    <w:link w:val="862"/>
    <w:qFormat/>
    <w:pPr>
      <w:jc w:val="center"/>
      <w:keepNext/>
      <w:outlineLvl w:val="0"/>
    </w:pPr>
    <w:rPr>
      <w:b/>
      <w:bCs/>
      <w:sz w:val="18"/>
    </w:rPr>
  </w:style>
  <w:style w:type="paragraph" w:styleId="864">
    <w:name w:val="Заголовок 2"/>
    <w:basedOn w:val="862"/>
    <w:next w:val="862"/>
    <w:link w:val="862"/>
    <w:qFormat/>
    <w:pPr>
      <w:jc w:val="center"/>
      <w:keepNext/>
      <w:outlineLvl w:val="1"/>
    </w:pPr>
    <w:rPr>
      <w:sz w:val="32"/>
    </w:rPr>
  </w:style>
  <w:style w:type="character" w:styleId="865">
    <w:name w:val="Основной шрифт абзаца"/>
    <w:next w:val="865"/>
    <w:link w:val="862"/>
    <w:semiHidden/>
  </w:style>
  <w:style w:type="table" w:styleId="866">
    <w:name w:val="Обычная таблица"/>
    <w:next w:val="866"/>
    <w:link w:val="862"/>
    <w:uiPriority w:val="99"/>
    <w:semiHidden/>
    <w:unhideWhenUsed/>
    <w:tblPr/>
  </w:style>
  <w:style w:type="numbering" w:styleId="867">
    <w:name w:val="Нет списка"/>
    <w:next w:val="867"/>
    <w:link w:val="862"/>
    <w:uiPriority w:val="99"/>
    <w:semiHidden/>
    <w:unhideWhenUsed/>
  </w:style>
  <w:style w:type="paragraph" w:styleId="868">
    <w:name w:val="FR1"/>
    <w:next w:val="868"/>
    <w:link w:val="862"/>
    <w:pPr>
      <w:ind w:left="40"/>
      <w:jc w:val="center"/>
      <w:spacing w:line="260" w:lineRule="auto"/>
      <w:widowControl w:val="off"/>
    </w:pPr>
    <w:rPr>
      <w:b/>
      <w:sz w:val="22"/>
      <w:lang w:val="ru-RU" w:eastAsia="ru-RU" w:bidi="ar-SA"/>
    </w:rPr>
  </w:style>
  <w:style w:type="paragraph" w:styleId="869">
    <w:name w:val="ConsPlusNormal"/>
    <w:next w:val="869"/>
    <w:link w:val="862"/>
    <w:qFormat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table" w:styleId="870">
    <w:name w:val="Сетка таблицы"/>
    <w:basedOn w:val="866"/>
    <w:next w:val="870"/>
    <w:link w:val="862"/>
    <w:uiPriority w:val="39"/>
    <w:rPr>
      <w:rFonts w:eastAsia="DejaVu Sans" w:cs="DejaVu Sans"/>
      <w:sz w:val="24"/>
      <w:szCs w:val="24"/>
      <w:lang w:val="en-US" w:eastAsia="zh-CN" w:bidi="hi-IN"/>
    </w:rPr>
    <w:tblPr/>
  </w:style>
  <w:style w:type="paragraph" w:styleId="871">
    <w:name w:val="Абзац списка"/>
    <w:basedOn w:val="862"/>
    <w:next w:val="871"/>
    <w:link w:val="862"/>
    <w:uiPriority w:val="34"/>
    <w:qFormat/>
    <w:pPr>
      <w:contextualSpacing/>
      <w:ind w:left="720"/>
    </w:pPr>
    <w:rPr>
      <w:sz w:val="20"/>
      <w:szCs w:val="20"/>
      <w:lang w:eastAsia="zh-CN"/>
    </w:rPr>
  </w:style>
  <w:style w:type="paragraph" w:styleId="872">
    <w:name w:val="Верхний колонтитул"/>
    <w:basedOn w:val="862"/>
    <w:next w:val="872"/>
    <w:link w:val="87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3">
    <w:name w:val="Верхний колонтитул Знак"/>
    <w:next w:val="873"/>
    <w:link w:val="872"/>
    <w:uiPriority w:val="99"/>
    <w:rPr>
      <w:sz w:val="28"/>
      <w:szCs w:val="24"/>
    </w:rPr>
  </w:style>
  <w:style w:type="paragraph" w:styleId="874">
    <w:name w:val="Нижний колонтитул"/>
    <w:basedOn w:val="862"/>
    <w:next w:val="874"/>
    <w:link w:val="87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5">
    <w:name w:val="Нижний колонтитул Знак"/>
    <w:next w:val="875"/>
    <w:link w:val="874"/>
    <w:uiPriority w:val="99"/>
    <w:rPr>
      <w:sz w:val="28"/>
      <w:szCs w:val="24"/>
    </w:rPr>
  </w:style>
  <w:style w:type="paragraph" w:styleId="876">
    <w:name w:val="ConsPlusTitle"/>
    <w:next w:val="876"/>
    <w:link w:val="862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77">
    <w:name w:val="Текст выноски"/>
    <w:basedOn w:val="862"/>
    <w:next w:val="877"/>
    <w:link w:val="87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8">
    <w:name w:val="Текст выноски Знак"/>
    <w:next w:val="878"/>
    <w:link w:val="877"/>
    <w:uiPriority w:val="99"/>
    <w:semiHidden/>
    <w:rPr>
      <w:rFonts w:ascii="Segoe UI" w:hAnsi="Segoe UI" w:cs="Segoe UI"/>
      <w:sz w:val="18"/>
      <w:szCs w:val="18"/>
    </w:rPr>
  </w:style>
  <w:style w:type="character" w:styleId="879">
    <w:name w:val="Строгий"/>
    <w:next w:val="879"/>
    <w:link w:val="862"/>
    <w:uiPriority w:val="22"/>
    <w:qFormat/>
    <w:rPr>
      <w:b/>
      <w:bCs/>
    </w:rPr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CAP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Ч=ваш РеспубликинФизкультура, спорт тататуризм министерстви</dc:title>
  <dc:creator>sport</dc:creator>
  <cp:revision>7</cp:revision>
  <dcterms:created xsi:type="dcterms:W3CDTF">2022-12-05T10:10:00Z</dcterms:created>
  <dcterms:modified xsi:type="dcterms:W3CDTF">2024-12-27T13:30:34Z</dcterms:modified>
  <cp:version>917504</cp:version>
</cp:coreProperties>
</file>