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126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tabs>
          <w:tab w:val="left" w:pos="126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0"/>
        <w:jc w:val="both"/>
        <w:tabs>
          <w:tab w:val="left" w:pos="126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tabs>
          <w:tab w:val="left" w:pos="126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9"/>
      </w:tblGrid>
      <w:tr>
        <w:tblPrEx/>
        <w:trPr>
          <w:trHeight w:val="324"/>
        </w:trPr>
        <w:tc>
          <w:tcPr>
            <w:shd w:val="clear" w:color="auto" w:fill="auto"/>
            <w:tcW w:w="410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б утверждении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Порядка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 уведомления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наблюдательных советов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 руководите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лями (заместителями руководителей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) автономных некоммерческих организаций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 по которым Министерство экономического развития и имущественных отношений Чувашской Республики осуществл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яет полномочия учредителя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 о возникновении личной заинтересованности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r>
          </w:p>
        </w:tc>
      </w:tr>
    </w:tbl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соответствии с Федеральным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законом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 25 декабря 2008 г. № 273-ФЗ «О противодействии коррупции»,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Федеральным законом от 18 июля 2011 г. № 223-ФЗ «О закупках товаров, работ, услуг отдельными видами юридических лиц»,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Федеральным законом от 5 апреля 2013 г. № 44-ФЗ «О контрактной системе в сфере закупок товаров, работ, услуг для обеспечения государственных 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муниципальных нужд»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 в целях повышения эффективности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реализации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мер по предуп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реждению коррупции 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автономных некоммерческих организациях по которым Министерство экономического развития и имущественных отношений Чувашской Республики осуществляет полномочия учредителя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 и к а з ы в а ю: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Утвердить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оряд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ок уведомления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наблюдательных советов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руководителями (заместителями руководителей) автономных некоммерческих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организаций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по которым Министерство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экономического развития и имущественных отношений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 осуществляет полномочия учредителя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spacing w:line="216" w:lineRule="auto"/>
        <w:rPr>
          <w:rFonts w:ascii="PT Astra Serif" w:hAnsi="PT Astra Serif" w:cs="PT Astra Serif"/>
          <w:sz w:val="26"/>
          <w:szCs w:val="26"/>
        </w:rPr>
        <w:outlineLvl w:val="0"/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spacing w:line="216" w:lineRule="auto"/>
        <w:rPr>
          <w:rFonts w:ascii="PT Astra Serif" w:hAnsi="PT Astra Serif" w:cs="PT Astra Serif"/>
          <w:sz w:val="26"/>
          <w:szCs w:val="26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spacing w:line="216" w:lineRule="auto"/>
        <w:rPr>
          <w:rFonts w:ascii="PT Astra Serif" w:hAnsi="PT Astra Serif" w:cs="PT Astra Serif"/>
          <w:sz w:val="26"/>
          <w:szCs w:val="26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jc w:val="both"/>
        <w:spacing w:line="216" w:lineRule="auto"/>
        <w:rPr>
          <w:rFonts w:ascii="PT Astra Serif" w:hAnsi="PT Astra Serif" w:eastAsia="PT Astra Serif" w:cs="PT Astra Serif"/>
          <w:sz w:val="26"/>
          <w:szCs w:val="26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Заместитель Председателя Кабинета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jc w:val="both"/>
        <w:spacing w:line="216" w:lineRule="auto"/>
        <w:rPr>
          <w:rFonts w:ascii="PT Astra Serif" w:hAnsi="PT Astra Serif" w:eastAsia="PT Astra Serif" w:cs="PT Astra Serif"/>
          <w:sz w:val="26"/>
          <w:szCs w:val="26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Министров Чувашской Республики - 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jc w:val="both"/>
        <w:spacing w:line="216" w:lineRule="auto"/>
        <w:rPr>
          <w:rFonts w:ascii="PT Astra Serif" w:hAnsi="PT Astra Serif" w:cs="PT Astra Serif"/>
          <w:sz w:val="26"/>
          <w:szCs w:val="26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министр</w:t>
      </w:r>
      <w:r>
        <w:rPr>
          <w:rFonts w:ascii="PT Astra Serif" w:hAnsi="PT Astra Serif" w:eastAsia="PT Astra Serif" w:cs="PT Astra Serif"/>
          <w:sz w:val="26"/>
          <w:szCs w:val="26"/>
        </w:rPr>
        <w:tab/>
        <w:tab/>
        <w:tab/>
        <w:tab/>
        <w:t xml:space="preserve">                                              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Д.И. Краснов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/>
        <w:jc w:val="left"/>
        <w:tabs>
          <w:tab w:val="left" w:pos="4820" w:leader="none"/>
        </w:tabs>
        <w:rPr>
          <w:rFonts w:ascii="PT Astra Serif" w:hAnsi="PT Astra Serif" w:cs="PT Astra Serif" w:eastAsiaTheme="minorHAnsi"/>
          <w:sz w:val="26"/>
          <w:szCs w:val="26"/>
          <w:highlight w:val="none"/>
        </w:rPr>
      </w:pPr>
      <w:r>
        <w:rPr>
          <w:rFonts w:ascii="PT Astra Serif" w:hAnsi="PT Astra Serif" w:cs="PT Astra Serif" w:eastAsiaTheme="minorHAnsi"/>
          <w:sz w:val="26"/>
          <w:szCs w:val="26"/>
          <w:highlight w:val="none"/>
        </w:rPr>
      </w:r>
      <w:r>
        <w:rPr>
          <w:rFonts w:ascii="PT Astra Serif" w:hAnsi="PT Astra Serif" w:cs="PT Astra Serif" w:eastAsiaTheme="minorHAnsi"/>
          <w:sz w:val="26"/>
          <w:szCs w:val="26"/>
          <w:highlight w:val="none"/>
        </w:rPr>
      </w:r>
      <w:r>
        <w:rPr>
          <w:rFonts w:ascii="PT Astra Serif" w:hAnsi="PT Astra Serif" w:cs="PT Astra Serif" w:eastAsiaTheme="minorHAnsi"/>
          <w:sz w:val="26"/>
          <w:szCs w:val="26"/>
          <w:highlight w:val="none"/>
        </w:rPr>
      </w:r>
    </w:p>
    <w:p>
      <w:pPr>
        <w:ind w:left="0"/>
        <w:jc w:val="left"/>
        <w:tabs>
          <w:tab w:val="left" w:pos="4820" w:leader="none"/>
        </w:tabs>
        <w:rPr>
          <w:rFonts w:ascii="PT Astra Serif" w:hAnsi="PT Astra Serif" w:cs="PT Astra Serif" w:eastAsiaTheme="minorHAnsi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highlight w:val="none"/>
        </w:rPr>
      </w:r>
      <w:r>
        <w:rPr>
          <w:rFonts w:ascii="PT Astra Serif" w:hAnsi="PT Astra Serif" w:cs="PT Astra Serif" w:eastAsiaTheme="minorHAnsi"/>
          <w:sz w:val="26"/>
          <w:szCs w:val="26"/>
          <w:highlight w:val="none"/>
        </w:rPr>
      </w:r>
      <w:r>
        <w:rPr>
          <w:rFonts w:ascii="PT Astra Serif" w:hAnsi="PT Astra Serif" w:cs="PT Astra Serif" w:eastAsiaTheme="minorHAnsi"/>
          <w:sz w:val="26"/>
          <w:szCs w:val="26"/>
          <w:highlight w:val="none"/>
        </w:rPr>
      </w:r>
    </w:p>
    <w:p>
      <w:pPr>
        <w:ind w:left="5670"/>
        <w:jc w:val="center"/>
        <w:tabs>
          <w:tab w:val="left" w:pos="4820" w:leader="none"/>
        </w:tabs>
        <w:rPr>
          <w:rFonts w:ascii="PT Astra Serif" w:hAnsi="PT Astra Serif" w:cs="PT Astra Serif" w:eastAsiaTheme="minorHAnsi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Утвержден </w:t>
      </w:r>
      <w:r>
        <w:rPr>
          <w:rFonts w:ascii="PT Astra Serif" w:hAnsi="PT Astra Serif" w:cs="PT Astra Serif" w:eastAsiaTheme="minorHAnsi"/>
          <w:sz w:val="26"/>
          <w:szCs w:val="26"/>
          <w:highlight w:val="none"/>
        </w:rPr>
      </w:r>
      <w:r>
        <w:rPr>
          <w:rFonts w:ascii="PT Astra Serif" w:hAnsi="PT Astra Serif" w:cs="PT Astra Serif" w:eastAsiaTheme="minorHAnsi"/>
          <w:sz w:val="26"/>
          <w:szCs w:val="26"/>
          <w:highlight w:val="none"/>
        </w:rPr>
      </w:r>
    </w:p>
    <w:p>
      <w:pPr>
        <w:ind w:left="5670"/>
        <w:jc w:val="center"/>
        <w:tabs>
          <w:tab w:val="left" w:pos="482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приказом Министерства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экономического развития и имущественных отношений Чувашской Республики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5670"/>
        <w:jc w:val="center"/>
        <w:tabs>
          <w:tab w:val="left" w:pos="482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от _________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__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202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г. № 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bookmarkStart w:id="0" w:name="P35"/>
      <w:r>
        <w:rPr>
          <w:rFonts w:ascii="PT Astra Serif" w:hAnsi="PT Astra Serif" w:eastAsia="PT Astra Serif" w:cs="PT Astra Serif"/>
          <w:sz w:val="26"/>
          <w:szCs w:val="26"/>
        </w:rPr>
      </w:r>
      <w:bookmarkEnd w:id="0"/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ПОРЯДОК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уведомления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наблюдательных советов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руководителями (заместителями руководителей) автономных некоммерческих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организаций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по которым Министерство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экономического развития и имущественных отношений Ч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увашской Республики осуществляет полномочия учредителя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1. Настоящим Порядком определяются правила уведомления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наблюдательных советов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 руководителями (заместителями руководителей) автономных некоммерческих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организаций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по которым Министерство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экономического развития и имущественных отношений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Чувашской Республики осуществляет полномочия учредителя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(далее соответств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енно – организация, руководители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ор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ганизации (заместители руководителей)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2.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Руководитель организации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(заместитель руководителя)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обязан в соответствии с Федеральным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законом «О противодействии коррупции», Федеральным законом «О контрактной системе в сфере закупок товаров, работ, услуг для обеспечения государственных и муниципальных нужд» и Федеральным законом «О закупках товаров, работ, услуг отдельными видами юридичес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ких лиц» уведомлять наблюдательный совет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интересов, а также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 принимать меры по предотвращению или урегулированию конфликта интересов.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оформляется в письменной форме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согласно приложению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к настоящему Порядку.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4. Уведомление представляется лично или любым доступным средством связи незамедлительно, как только руководителю организации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(заместителю руководителя)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При нахождении руководителя организации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(заместителя руководителя)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не при исполнении должностных обязанностей и (или) вне пределов места работы, он обязан уведомить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наблюдательный совет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любым доступным средством связи, а по прибытии к месту работы оформить соответствующее уведомление в письменной форме.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5. Поступившее уведомление р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егистрируется немедленно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color w:val="22272f"/>
          <w:sz w:val="26"/>
          <w:szCs w:val="26"/>
          <w:highlight w:val="white"/>
        </w:rPr>
        <w:t xml:space="preserve">в системе электронного документооборота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. Копия уведомления с отметкой о регистрации выдается руководителю организации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(заместителю руководителя)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 на руки либо 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направляется по почте с уведомлением о вручении.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 w:eastAsiaTheme="minorHAnsi"/>
          <w:color w:val="000000" w:themeColor="text1"/>
          <w:sz w:val="26"/>
          <w:szCs w:val="26"/>
          <w:highlight w:val="none"/>
          <w:lang w:eastAsia="en-US"/>
        </w:rPr>
      </w:pP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6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Наблюдательным советом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 осуществляется рассмотрение уведомления. При рассмотрении уведомления наблюдательный совет имеет право проводить собеседование с руководителем организации (заместителем руководителя), представившим уведомление, получать от него письменные пояснения, а т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акже направлять в установленном порядке запросы в го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сударственные органы, органы местного самоуправления и заинтересованные организации. Уведомление в течение семи рабочих дней со дня поступления в наблюдательный совет представляется председателю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наблюдательного совета.</w:t>
      </w:r>
      <w:r>
        <w:rPr>
          <w:rFonts w:ascii="PT Astra Serif" w:hAnsi="PT Astra Serif" w:cs="PT Astra Serif" w:eastAsiaTheme="minorHAnsi"/>
          <w:color w:val="000000" w:themeColor="text1"/>
          <w:sz w:val="26"/>
          <w:szCs w:val="26"/>
          <w:highlight w:val="none"/>
          <w:lang w:eastAsia="en-US"/>
        </w:rPr>
      </w:r>
      <w:r>
        <w:rPr>
          <w:rFonts w:ascii="PT Astra Serif" w:hAnsi="PT Astra Serif" w:cs="PT Astra Serif" w:eastAsiaTheme="minorHAnsi"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0" w:right="0" w:firstLine="708"/>
        <w:jc w:val="both"/>
        <w:shd w:val="clear" w:color="ffffff" w:fill="ffffff"/>
        <w:rPr>
          <w:rFonts w:ascii="PT Astra Serif" w:hAnsi="PT Astra Serif" w:cs="PT Astra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В случае направления запросов уведомление представляется председателю наблюдательного совета в течение 45 дней со дня поступления в наблюдательный совет. Указанный срок может быть продлен, но не более чем на 30 дней.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7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. Рассмотрение уведомления 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наблюдательным советом 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осуществляется в соотв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етствии с 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законодательством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 Российской Федерации и законодательством Чувашской Республики, уставом организации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8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. Непринятие руководителем организации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 (заместителем руководителя)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  <w:lang w:eastAsia="en-US"/>
        </w:rPr>
        <w:t xml:space="preserve">_____________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jc w:val="both"/>
        <w:tabs>
          <w:tab w:val="left" w:pos="4820" w:leader="none"/>
        </w:tabs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jc w:val="both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252" w:right="0" w:firstLine="0"/>
        <w:jc w:val="center"/>
        <w:rPr>
          <w:rFonts w:eastAsiaTheme="minorHAnsi"/>
          <w:highlight w:val="none"/>
        </w:rPr>
      </w:pP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left="4252" w:right="0" w:firstLine="0"/>
        <w:jc w:val="center"/>
        <w:rPr>
          <w:rFonts w:eastAsiaTheme="minorHAnsi"/>
          <w:highlight w:val="none"/>
        </w:rPr>
      </w:pP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left="4252" w:right="0" w:firstLine="0"/>
        <w:jc w:val="center"/>
        <w:rPr>
          <w:rFonts w:eastAsiaTheme="minorHAnsi"/>
          <w:highlight w:val="none"/>
        </w:rPr>
      </w:pP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left="4252" w:right="0" w:firstLine="0"/>
        <w:jc w:val="center"/>
        <w:rPr>
          <w:rFonts w:eastAsiaTheme="minorHAnsi"/>
          <w:highlight w:val="none"/>
        </w:rPr>
      </w:pP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left="4252" w:right="0" w:firstLine="0"/>
        <w:jc w:val="center"/>
        <w:rPr>
          <w:rFonts w:eastAsiaTheme="minorHAnsi"/>
          <w:highlight w:val="none"/>
        </w:rPr>
      </w:pPr>
      <w:r>
        <w:rPr>
          <w:rFonts w:eastAsiaTheme="minorHAnsi"/>
          <w:sz w:val="26"/>
          <w:szCs w:val="26"/>
        </w:rPr>
        <w:t xml:space="preserve">Приложение</w:t>
      </w:r>
      <w:bookmarkStart w:id="1" w:name="_GoBack"/>
      <w:r/>
      <w:bookmarkEnd w:id="1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left="4252" w:right="0" w:firstLine="0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к Порядку уведомления </w:t>
      </w:r>
      <w:r>
        <w:rPr>
          <w:rFonts w:eastAsiaTheme="minorHAnsi"/>
          <w:sz w:val="26"/>
          <w:szCs w:val="26"/>
        </w:rPr>
        <w:t xml:space="preserve">наблюдательного совета руководителями (заместителями руководителей) автономных некоммерческих организаций по которым </w:t>
      </w:r>
      <w:r>
        <w:rPr>
          <w:sz w:val="26"/>
          <w:szCs w:val="26"/>
        </w:rPr>
        <w:t xml:space="preserve">Министерство экономического развития и имущественных отношений </w:t>
      </w:r>
      <w:r>
        <w:rPr>
          <w:rFonts w:eastAsiaTheme="minorHAnsi"/>
          <w:sz w:val="26"/>
          <w:szCs w:val="26"/>
        </w:rPr>
        <w:t xml:space="preserve"> Чувашской Республики осуществляет полномочия учредителя о во</w:t>
      </w:r>
      <w:r>
        <w:rPr>
          <w:rFonts w:eastAsiaTheme="minorHAnsi"/>
          <w:sz w:val="26"/>
          <w:szCs w:val="26"/>
        </w:rPr>
        <w:t xml:space="preserve">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252" w:right="0" w:firstLine="0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820" w:right="0" w:hanging="1"/>
        <w:jc w:val="center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ФОРМА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820"/>
        <w:jc w:val="center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820"/>
        <w:jc w:val="left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Наблюдательному совету ________________________________ </w:t>
      </w:r>
      <w:r>
        <w:rPr>
          <w:rFonts w:eastAsiaTheme="minorHAnsi"/>
          <w:sz w:val="26"/>
          <w:szCs w:val="26"/>
        </w:rPr>
        <w:br/>
      </w:r>
      <w:r>
        <w:rPr>
          <w:rFonts w:eastAsiaTheme="minorHAnsi"/>
          <w:sz w:val="20"/>
          <w:szCs w:val="20"/>
        </w:rPr>
        <w:t xml:space="preserve">наименование автономной некоммерческой </w:t>
      </w:r>
      <w:r>
        <w:rPr>
          <w:rFonts w:eastAsiaTheme="minorHAnsi"/>
          <w:sz w:val="26"/>
          <w:szCs w:val="26"/>
        </w:rPr>
        <w:t xml:space="preserve">________________________________ </w:t>
      </w:r>
      <w:r>
        <w:rPr>
          <w:rFonts w:eastAsiaTheme="minorHAnsi"/>
          <w:sz w:val="20"/>
          <w:szCs w:val="20"/>
        </w:rPr>
        <w:t xml:space="preserve">организации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820"/>
        <w:jc w:val="both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от ______________________________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820"/>
        <w:jc w:val="left"/>
        <w:tabs>
          <w:tab w:val="left" w:pos="4820" w:leader="none"/>
        </w:tabs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фамилия, имя, отчество</w:t>
      </w:r>
      <w:r>
        <w:rPr>
          <w:rFonts w:eastAsiaTheme="minorHAnsi"/>
          <w:sz w:val="20"/>
          <w:szCs w:val="20"/>
        </w:rPr>
        <w:t xml:space="preserve"> (последнее – при наличии)</w:t>
      </w:r>
      <w:r>
        <w:rPr>
          <w:rFonts w:eastAsiaTheme="minorHAnsi"/>
          <w:sz w:val="20"/>
          <w:szCs w:val="20"/>
        </w:rPr>
      </w:r>
      <w:r>
        <w:rPr>
          <w:rFonts w:eastAsiaTheme="minorHAnsi"/>
          <w:sz w:val="20"/>
          <w:szCs w:val="20"/>
        </w:rPr>
      </w:r>
    </w:p>
    <w:p>
      <w:pPr>
        <w:ind w:left="4820"/>
        <w:jc w:val="both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________________________________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820"/>
        <w:jc w:val="center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0"/>
          <w:szCs w:val="20"/>
        </w:rPr>
        <w:t xml:space="preserve">адрес места жительства, контактный телефон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Уведомление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  о возникновении личной заинтересованности при исполнении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должностных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 обязанностей, 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которая</w:t>
      </w:r>
      <w:r>
        <w:rPr>
          <w:rFonts w:ascii="PT Astra Serif" w:hAnsi="PT Astra Serif" w:eastAsia="PT Astra Serif" w:cs="PT Astra Serif" w:eastAsiaTheme="minorHAnsi"/>
          <w:sz w:val="26"/>
          <w:szCs w:val="26"/>
        </w:rPr>
        <w:t xml:space="preserve"> приводит или может привести к конфликту интересов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widowControl w:val="off"/>
        <w:rPr>
          <w:rFonts w:ascii="PT Astra Serif" w:hAnsi="PT Astra Serif" w:cs="PT Astra Serif"/>
          <w:sz w:val="20"/>
          <w:szCs w:val="22"/>
        </w:rPr>
      </w:pPr>
      <w:r>
        <w:rPr>
          <w:rFonts w:ascii="PT Astra Serif" w:hAnsi="PT Astra Serif" w:eastAsia="PT Astra Serif" w:cs="PT Astra Serif" w:eastAsiaTheme="minorEastAsia"/>
          <w:sz w:val="20"/>
          <w:szCs w:val="22"/>
        </w:rPr>
      </w:r>
      <w:r>
        <w:rPr>
          <w:rFonts w:ascii="PT Astra Serif" w:hAnsi="PT Astra Serif" w:cs="PT Astra Serif"/>
          <w:sz w:val="20"/>
          <w:szCs w:val="22"/>
        </w:rPr>
      </w:r>
      <w:r>
        <w:rPr>
          <w:rFonts w:ascii="PT Astra Serif" w:hAnsi="PT Astra Serif" w:cs="PT Astra Serif"/>
          <w:sz w:val="20"/>
          <w:szCs w:val="22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В соответствии с Федеральным законом от 25 декабря 2008 г. № 273-ФЗ «О противодействии коррупции», 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Федеральным законом от 18 июля 2011 г. № 223-ФЗ «О закупках товаров, работ, услуг отдельными видами юридических лиц», 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нужд» 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я,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_______________________________________________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0"/>
          <w:szCs w:val="20"/>
        </w:rPr>
        <w:t xml:space="preserve">                                                                  </w:t>
      </w:r>
      <w:r>
        <w:rPr>
          <w:rFonts w:ascii="PT Astra Serif" w:hAnsi="PT Astra Serif" w:eastAsia="PT Astra Serif" w:cs="PT Astra Serif" w:eastAsiaTheme="minorHAnsi"/>
          <w:sz w:val="20"/>
          <w:szCs w:val="20"/>
        </w:rPr>
        <w:t xml:space="preserve">фамилия, имя, отчество (последнее – при наличии)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 w:eastAsiaTheme="minorHAnsi"/>
          <w:sz w:val="26"/>
          <w:szCs w:val="26"/>
          <w:lang w:eastAsia="en-US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замещающи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й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(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ая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)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 должность_____________________________________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</w:t>
      </w:r>
      <w:r>
        <w:rPr>
          <w:rFonts w:ascii="PT Astra Serif" w:hAnsi="PT Astra Serif" w:cs="PT Astra Serif" w:eastAsiaTheme="minorHAnsi"/>
          <w:sz w:val="26"/>
          <w:szCs w:val="26"/>
          <w:lang w:eastAsia="en-US"/>
        </w:rPr>
      </w:r>
      <w:r>
        <w:rPr>
          <w:rFonts w:ascii="PT Astra Serif" w:hAnsi="PT Astra Serif" w:cs="PT Astra Serif" w:eastAsiaTheme="minorHAnsi"/>
          <w:sz w:val="26"/>
          <w:szCs w:val="26"/>
          <w:lang w:eastAsia="en-US"/>
        </w:rPr>
      </w:r>
    </w:p>
    <w:p>
      <w:pPr>
        <w:jc w:val="both"/>
        <w:rPr>
          <w:rFonts w:ascii="PT Astra Serif" w:hAnsi="PT Astra Serif" w:cs="PT Astra Serif" w:eastAsiaTheme="minorHAnsi"/>
          <w:sz w:val="26"/>
          <w:szCs w:val="26"/>
          <w:lang w:eastAsia="en-US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___________________________________________________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</w:t>
      </w:r>
      <w:r>
        <w:rPr>
          <w:rFonts w:ascii="PT Astra Serif" w:hAnsi="PT Astra Serif" w:cs="PT Astra Serif" w:eastAsiaTheme="minorHAnsi"/>
          <w:sz w:val="26"/>
          <w:szCs w:val="26"/>
          <w:lang w:eastAsia="en-US"/>
        </w:rPr>
      </w:r>
      <w:r>
        <w:rPr>
          <w:rFonts w:ascii="PT Astra Serif" w:hAnsi="PT Astra Serif" w:cs="PT Astra Serif" w:eastAsiaTheme="minorHAnsi"/>
          <w:sz w:val="26"/>
          <w:szCs w:val="26"/>
          <w:lang w:eastAsia="en-US"/>
        </w:rPr>
      </w:r>
    </w:p>
    <w:p>
      <w:pPr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                               </w:t>
      </w:r>
      <w:r>
        <w:rPr>
          <w:rFonts w:ascii="PT Astra Serif" w:hAnsi="PT Astra Serif" w:eastAsia="PT Astra Serif" w:cs="PT Astra Serif" w:eastAsiaTheme="minorHAnsi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 w:eastAsiaTheme="minorHAnsi"/>
          <w:sz w:val="20"/>
          <w:szCs w:val="20"/>
        </w:rPr>
        <w:t xml:space="preserve">(наименование замещаемой должности)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Обстоятельства, являющиеся основанием возникновения личной заинтересованности: ______________________________________________________________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__________________________________________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Должностные обязанности, на исполнение которых влияет или может повлиять личная заинтересованность: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_____________________________________________________________________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Предлагаемые меры по предотвращению или урегулированию конфликта интересов:__________________________________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«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»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 20__ г. ___________________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      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__________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HAnsi"/>
          <w:sz w:val="20"/>
          <w:szCs w:val="20"/>
          <w:lang w:eastAsia="en-US"/>
        </w:rPr>
        <w:t xml:space="preserve">                                           (подпись лица, направляюще</w:t>
      </w:r>
      <w:r>
        <w:rPr>
          <w:rFonts w:ascii="PT Astra Serif" w:hAnsi="PT Astra Serif" w:eastAsia="PT Astra Serif" w:cs="PT Astra Serif" w:eastAsiaTheme="minorHAnsi"/>
          <w:sz w:val="20"/>
          <w:szCs w:val="20"/>
          <w:lang w:eastAsia="en-US"/>
        </w:rPr>
        <w:t xml:space="preserve">го уведомление)        (</w:t>
      </w:r>
      <w:r>
        <w:rPr>
          <w:rFonts w:ascii="PT Astra Serif" w:hAnsi="PT Astra Serif" w:eastAsia="PT Astra Serif" w:cs="PT Astra Serif" w:eastAsiaTheme="minorHAnsi"/>
          <w:sz w:val="20"/>
          <w:szCs w:val="20"/>
          <w:lang w:eastAsia="en-US"/>
        </w:rPr>
        <w:t xml:space="preserve">расшифровка подписи)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ind w:left="482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82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82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4820"/>
        <w:tabs>
          <w:tab w:val="left" w:pos="4820" w:leader="none"/>
        </w:tabs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tabs>
          <w:tab w:val="left" w:pos="4820" w:leader="none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836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TimesET">
    <w:panose1 w:val="02000603000000000000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r/>
    <w:r/>
  </w:p>
  <w:p>
    <w:pPr>
      <w:pStyle w:val="88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separate"/>
    </w:r>
    <w:r>
      <w:rPr>
        <w:rStyle w:val="889"/>
      </w:rPr>
      <w:t xml:space="preserve">4</w: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right"/>
    </w:pPr>
    <w:r>
      <w:t xml:space="preserve">ПРОЕКТ</w:t>
    </w:r>
    <w:r/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9"/>
    <w:link w:val="877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9"/>
    <w:link w:val="878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9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9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9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9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9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9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76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76"/>
    <w:next w:val="876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9"/>
    <w:link w:val="722"/>
    <w:uiPriority w:val="10"/>
    <w:rPr>
      <w:sz w:val="48"/>
      <w:szCs w:val="48"/>
    </w:rPr>
  </w:style>
  <w:style w:type="paragraph" w:styleId="724">
    <w:name w:val="Subtitle"/>
    <w:basedOn w:val="876"/>
    <w:next w:val="876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9"/>
    <w:link w:val="724"/>
    <w:uiPriority w:val="11"/>
    <w:rPr>
      <w:sz w:val="24"/>
      <w:szCs w:val="24"/>
    </w:rPr>
  </w:style>
  <w:style w:type="paragraph" w:styleId="726">
    <w:name w:val="Quote"/>
    <w:basedOn w:val="876"/>
    <w:next w:val="876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6"/>
    <w:next w:val="876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9"/>
    <w:link w:val="883"/>
    <w:uiPriority w:val="99"/>
  </w:style>
  <w:style w:type="character" w:styleId="731">
    <w:name w:val="Footer Char"/>
    <w:basedOn w:val="879"/>
    <w:link w:val="886"/>
    <w:uiPriority w:val="99"/>
  </w:style>
  <w:style w:type="paragraph" w:styleId="732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886"/>
    <w:uiPriority w:val="99"/>
  </w:style>
  <w:style w:type="table" w:styleId="734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9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9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rPr>
      <w:sz w:val="24"/>
      <w:szCs w:val="24"/>
    </w:rPr>
  </w:style>
  <w:style w:type="paragraph" w:styleId="877">
    <w:name w:val="Heading 1"/>
    <w:basedOn w:val="876"/>
    <w:next w:val="876"/>
    <w:link w:val="89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78">
    <w:name w:val="Heading 2"/>
    <w:basedOn w:val="876"/>
    <w:next w:val="876"/>
    <w:qFormat/>
    <w:pPr>
      <w:jc w:val="center"/>
      <w:keepNext/>
      <w:outlineLvl w:val="1"/>
    </w:pPr>
    <w:rPr>
      <w:sz w:val="28"/>
      <w:szCs w:val="28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Signature"/>
    <w:basedOn w:val="876"/>
    <w:rPr>
      <w:rFonts w:ascii="TimesET" w:hAnsi="TimesET"/>
      <w:szCs w:val="20"/>
    </w:rPr>
  </w:style>
  <w:style w:type="paragraph" w:styleId="883">
    <w:name w:val="Header"/>
    <w:basedOn w:val="876"/>
    <w:link w:val="896"/>
    <w:uiPriority w:val="99"/>
    <w:pPr>
      <w:tabs>
        <w:tab w:val="center" w:pos="4677" w:leader="none"/>
        <w:tab w:val="right" w:pos="9355" w:leader="none"/>
      </w:tabs>
    </w:pPr>
  </w:style>
  <w:style w:type="paragraph" w:styleId="88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85">
    <w:name w:val="Balloon Text"/>
    <w:basedOn w:val="876"/>
    <w:semiHidden/>
    <w:rPr>
      <w:rFonts w:ascii="Tahoma" w:hAnsi="Tahoma" w:cs="Tahoma"/>
      <w:sz w:val="16"/>
      <w:szCs w:val="16"/>
    </w:rPr>
  </w:style>
  <w:style w:type="paragraph" w:styleId="886">
    <w:name w:val="Footer"/>
    <w:basedOn w:val="876"/>
    <w:link w:val="895"/>
    <w:uiPriority w:val="99"/>
    <w:pPr>
      <w:tabs>
        <w:tab w:val="center" w:pos="4677" w:leader="none"/>
        <w:tab w:val="right" w:pos="9355" w:leader="none"/>
      </w:tabs>
    </w:pPr>
  </w:style>
  <w:style w:type="paragraph" w:styleId="887">
    <w:name w:val="Body Text"/>
    <w:basedOn w:val="876"/>
    <w:pPr>
      <w:ind w:right="4630"/>
      <w:jc w:val="both"/>
      <w:outlineLvl w:val="0"/>
    </w:pPr>
    <w:rPr>
      <w:b/>
      <w:bCs/>
      <w:sz w:val="26"/>
      <w:szCs w:val="26"/>
    </w:rPr>
  </w:style>
  <w:style w:type="paragraph" w:styleId="888">
    <w:name w:val="Body Text Indent"/>
    <w:basedOn w:val="876"/>
    <w:pPr>
      <w:ind w:firstLine="720"/>
      <w:jc w:val="both"/>
    </w:pPr>
    <w:rPr>
      <w:sz w:val="26"/>
      <w:szCs w:val="26"/>
    </w:rPr>
  </w:style>
  <w:style w:type="character" w:styleId="889">
    <w:name w:val="page number"/>
    <w:basedOn w:val="879"/>
  </w:style>
  <w:style w:type="paragraph" w:styleId="890">
    <w:name w:val="Body Text 2"/>
    <w:basedOn w:val="876"/>
    <w:pPr>
      <w:jc w:val="center"/>
    </w:pPr>
    <w:rPr>
      <w:szCs w:val="26"/>
    </w:rPr>
  </w:style>
  <w:style w:type="paragraph" w:styleId="891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character" w:styleId="892">
    <w:name w:val="Hyperlink"/>
    <w:rPr>
      <w:color w:val="0000ff"/>
      <w:u w:val="single"/>
    </w:rPr>
  </w:style>
  <w:style w:type="table" w:styleId="893">
    <w:name w:val="Table Grid"/>
    <w:basedOn w:val="88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4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5" w:customStyle="1">
    <w:name w:val="Нижний колонтитул Знак"/>
    <w:link w:val="886"/>
    <w:uiPriority w:val="99"/>
    <w:rPr>
      <w:sz w:val="24"/>
      <w:szCs w:val="24"/>
    </w:rPr>
  </w:style>
  <w:style w:type="character" w:styleId="896" w:customStyle="1">
    <w:name w:val="Верхний колонтитул Знак"/>
    <w:link w:val="883"/>
    <w:uiPriority w:val="99"/>
    <w:rPr>
      <w:sz w:val="24"/>
      <w:szCs w:val="24"/>
    </w:rPr>
  </w:style>
  <w:style w:type="character" w:styleId="897" w:customStyle="1">
    <w:name w:val="Заголовок 1 Знак"/>
    <w:link w:val="877"/>
    <w:rPr>
      <w:rFonts w:ascii="Cambria" w:hAnsi="Cambria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0C87-CB74-4FD9-8BF1-5E8748A0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постановле-ние Кабинета Министров Чувашской Республики от 2 июля 2010 г</dc:title>
  <dc:creator>minust18</dc:creator>
  <cp:revision>52</cp:revision>
  <dcterms:created xsi:type="dcterms:W3CDTF">2024-02-09T06:43:00Z</dcterms:created>
  <dcterms:modified xsi:type="dcterms:W3CDTF">2024-12-26T13:38:12Z</dcterms:modified>
</cp:coreProperties>
</file>