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1738"/>
        <w:gridCol w:w="464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УТВЕРЖДЕНА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приказом Министерства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культуры,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по делам национальностей и 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хивного дела Чувашской Республики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___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кабря 202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4 г. №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01-05/_____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68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Программа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н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ностям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при осуществлении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регионального государственного контроля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(надзора) за соблюд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е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нием законодательства об архивном деле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 на 202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5 г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од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Настоящая программа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регионального государстве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ного контроля (надзора) за соблюдением законодательства об архивном деле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(д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лее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–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Программа)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,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устанавливает порядок проведения профилактических меропр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ятий, направленных на предупреждение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причинения вреда (ущерба) охраня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мым законом ценностям,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соблюдение которых оценивается в р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амках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осуществления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р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гионального государственного контроля (надзора) за соблюдением законодател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ь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ства об архивном деле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(далее –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государственный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ко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троль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(надзор)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).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8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val="en-US" w:eastAsia="en-US"/>
        </w:rPr>
        <w:t xml:space="preserve">I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.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Анализ текущего состояния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осуществления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регионального госуда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р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ственного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контроля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 (надзора)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, описание текущего развития профилактич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е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ской деятельности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 Министерства культуры, по делам национальностей и а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р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хивного дела Чувашской Республики,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 характеристика проблем, на решение которых направлена Пр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о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грамма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ind w:firstLine="708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Объектами при осуществлении вида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государственного контроля (надзора)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являются: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8"/>
        <w:ind w:firstLine="709"/>
        <w:jc w:val="both"/>
        <w:spacing w:line="247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деятельность, действия (бездействие) контролируемых лиц по организации хран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ния, комплектования, учета и использования документов Архивного фонда Российской Федерации и иных архивных документов на территории Чувашской Республики;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8"/>
        <w:ind w:firstLine="709"/>
        <w:jc w:val="both"/>
        <w:spacing w:line="247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документы Архивного фонда Чувашской Республики и иные архивные 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кументы;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8"/>
        <w:ind w:firstLine="709"/>
        <w:jc w:val="both"/>
        <w:spacing w:line="247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здания и (или) помещения, которыми владеют или пользуются контролиру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мые лица, отвечающие нормативным требованиям хранения документов Архивн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 фонда Чувашской Республики и иных архивных докуме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тов.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Контролируемыми лицами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при осуществлении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государственного контроля (надзора)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являются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индивидуальные предприниматели, юридические лица, в том числе органы гос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у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дарственной власти Чувашской Республики, которые выступают источниками комплект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вания государственных архивов Чувашской Республики и в процессе деятельности которых образуются документы Архивного фонда Чува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ш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ской Республики и иные архивные документы, подлежащие приему на хранение в государственные архивы Чувашской Республики (далее соответственно – контр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лируемое лицо, архивные докуме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ты).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Общее количество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объектов контроля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оценивается в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2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40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,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среди них име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ю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щие кат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гории риска: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значительный риск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–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0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(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0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%);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средний риск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–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3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0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(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13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%);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умеренный риск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–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36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(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15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%);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низкий риск –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1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7</w:t>
      </w:r>
      <w:r>
        <w:rPr>
          <w:rFonts w:ascii="PT Astra Serif" w:hAnsi="PT Astra Serif" w:eastAsia="PT Astra Serif" w:cs="PT Astra Serif"/>
          <w:sz w:val="26"/>
          <w:szCs w:val="26"/>
          <w:lang w:val="en-US" w:eastAsia="en-US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(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72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%).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Г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лавной задачей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Министерства культуры, по делам национальностей и 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р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хивного дела Чувашской Республики (далее – Министерство)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при осуществлении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государственного контроля (надзора)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являет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ся переориентация контрольной де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я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тельности на объекты пов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ы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шенного риска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к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тики.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9"/>
        <w:jc w:val="both"/>
        <w:widowControl w:val="off"/>
        <w:tabs>
          <w:tab w:val="left" w:pos="0" w:leader="none"/>
        </w:tabs>
        <w:rPr>
          <w:rFonts w:ascii="PT Astra Serif" w:hAnsi="PT Astra Serif" w:cs="PT Astra Serif"/>
          <w:spacing w:val="1"/>
          <w:sz w:val="26"/>
          <w:szCs w:val="26"/>
        </w:rPr>
      </w:pP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В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3 –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4 год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х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 в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Министерством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рамках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государственного контроля (надзора)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мероприяти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 не проводились.</w:t>
      </w:r>
      <w:r>
        <w:rPr>
          <w:rFonts w:ascii="PT Astra Serif" w:hAnsi="PT Astra Serif" w:cs="PT Astra Serif"/>
          <w:spacing w:val="1"/>
          <w:sz w:val="26"/>
          <w:szCs w:val="26"/>
        </w:rPr>
      </w:r>
    </w:p>
    <w:p>
      <w:pPr>
        <w:pStyle w:val="680"/>
        <w:ind w:firstLine="709"/>
        <w:jc w:val="both"/>
        <w:widowControl w:val="off"/>
        <w:tabs>
          <w:tab w:val="left" w:pos="0" w:leader="none"/>
        </w:tabs>
        <w:rPr>
          <w:rStyle w:val="723"/>
          <w:rFonts w:ascii="PT Astra Serif" w:hAnsi="PT Astra Serif" w:cs="PT Astra Serif"/>
          <w:i w:val="0"/>
          <w:sz w:val="26"/>
          <w:szCs w:val="26"/>
        </w:rPr>
      </w:pP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В целях предупреждения нарушений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контролируемыми лицами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обязател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ь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ных требований, требований, установленных правовыми актами в сфере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госуда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р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ственного контроля (надзора)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, устранения причин, факторов и условий, спосо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б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ствующих указанным нарушениям,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Министерством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осуществлялись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мероприятия по профилактике таких нар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у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шений в соо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тветствии с программой по профилактике наруш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е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ний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в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202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4 г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оду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.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</w:r>
      <w:r>
        <w:rPr>
          <w:rStyle w:val="723"/>
          <w:rFonts w:ascii="PT Astra Serif" w:hAnsi="PT Astra Serif" w:cs="PT Astra Serif"/>
          <w:i w:val="0"/>
          <w:sz w:val="26"/>
          <w:szCs w:val="26"/>
        </w:rPr>
      </w:r>
    </w:p>
    <w:p>
      <w:pPr>
        <w:pStyle w:val="680"/>
        <w:ind w:firstLine="709"/>
        <w:jc w:val="both"/>
        <w:widowControl w:val="off"/>
        <w:tabs>
          <w:tab w:val="left" w:pos="0" w:leader="none"/>
        </w:tabs>
        <w:rPr>
          <w:rStyle w:val="723"/>
          <w:rFonts w:ascii="PT Astra Serif" w:hAnsi="PT Astra Serif" w:cs="PT Astra Serif"/>
          <w:i w:val="0"/>
          <w:sz w:val="26"/>
          <w:szCs w:val="26"/>
        </w:rPr>
      </w:pP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В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частности, в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202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4 г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.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в целях профилактики нарушений обязательных тр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е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бований на официальном сайте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Министерства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на Портале органов государственной власти Чувашской Республики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в информационно-телекоммуникационной сети «Интернет» обеспечено размещение информации в отношении проведения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гос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у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дарственного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контроля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(надзора)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, в том числе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перечень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обязательных требований, обобщение практики, разъяснения, полезная информ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а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ция.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</w:r>
      <w:r>
        <w:rPr>
          <w:rStyle w:val="723"/>
          <w:rFonts w:ascii="PT Astra Serif" w:hAnsi="PT Astra Serif" w:cs="PT Astra Serif"/>
          <w:i w:val="0"/>
          <w:sz w:val="26"/>
          <w:szCs w:val="26"/>
        </w:rPr>
      </w:r>
    </w:p>
    <w:p>
      <w:pPr>
        <w:pStyle w:val="680"/>
        <w:ind w:firstLine="709"/>
        <w:jc w:val="both"/>
        <w:widowControl w:val="off"/>
        <w:tabs>
          <w:tab w:val="left" w:pos="0" w:leader="none"/>
        </w:tabs>
        <w:rPr>
          <w:rStyle w:val="723"/>
          <w:rFonts w:ascii="PT Astra Serif" w:hAnsi="PT Astra Serif" w:cs="PT Astra Serif"/>
          <w:i w:val="0"/>
          <w:sz w:val="26"/>
          <w:szCs w:val="26"/>
        </w:rPr>
      </w:pP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и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кования рук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о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водства по соблюдению требований, памяток на официальном сайте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Министерства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в информационно-телекоммуникационной сети «Интернет», еж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е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квартально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проводились совещания с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лицами, ответственными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 за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делопроизво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д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ство и архивное дело в организациях,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по вопросам соблюдения обязательных тр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е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бований законодательства, по завершению совещаний обеспечено вручение разд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а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точного материала участн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и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кам.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</w:r>
      <w:r>
        <w:rPr>
          <w:rStyle w:val="723"/>
          <w:rFonts w:ascii="PT Astra Serif" w:hAnsi="PT Astra Serif" w:cs="PT Astra Serif"/>
          <w:i w:val="0"/>
          <w:sz w:val="26"/>
          <w:szCs w:val="26"/>
        </w:rPr>
      </w:r>
    </w:p>
    <w:p>
      <w:pPr>
        <w:pStyle w:val="680"/>
        <w:ind w:firstLine="709"/>
        <w:jc w:val="both"/>
        <w:widowControl w:val="off"/>
        <w:tabs>
          <w:tab w:val="left" w:pos="0" w:leader="none"/>
        </w:tabs>
        <w:rPr>
          <w:rStyle w:val="723"/>
          <w:rFonts w:ascii="PT Astra Serif" w:hAnsi="PT Astra Serif" w:cs="PT Astra Serif"/>
          <w:i w:val="0"/>
          <w:sz w:val="26"/>
          <w:szCs w:val="26"/>
        </w:rPr>
      </w:pP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На регулярной основе давались консультации в ходе личных приемов, а та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к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же посредством телефонной связи и письменных о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т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ветов на обращения. 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</w:r>
      <w:r>
        <w:rPr>
          <w:rStyle w:val="723"/>
          <w:rFonts w:ascii="PT Astra Serif" w:hAnsi="PT Astra Serif" w:cs="PT Astra Serif"/>
          <w:i w:val="0"/>
          <w:sz w:val="26"/>
          <w:szCs w:val="26"/>
        </w:rPr>
      </w:r>
    </w:p>
    <w:p>
      <w:pPr>
        <w:pStyle w:val="680"/>
        <w:ind w:firstLine="709"/>
        <w:jc w:val="both"/>
        <w:widowControl w:val="off"/>
        <w:tabs>
          <w:tab w:val="left" w:pos="0" w:leader="none"/>
        </w:tabs>
        <w:rPr>
          <w:rFonts w:ascii="PT Astra Serif" w:hAnsi="PT Astra Serif" w:cs="PT Astra Serif"/>
          <w:color w:val="010101"/>
          <w:sz w:val="26"/>
          <w:szCs w:val="26"/>
          <w:shd w:val="clear" w:color="auto" w:fill="ffffff"/>
        </w:rPr>
      </w:pP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и инд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и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видуальных предпринимателей на основании ст. 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61 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Федеральн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ого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 закон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а от 31 июля 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2020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 г. № 248-ФЗ «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О государственном контроле (надзоре) и муниципал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ь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ном 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контроле в Российской Федерации» 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в сфере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регионально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государственно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ко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троля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(надзор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 за соблюдением закон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дательства об архивном деле 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на 202</w:t>
      </w:r>
      <w:r>
        <w:rPr>
          <w:rFonts w:ascii="PT Astra Serif" w:hAnsi="PT Astra Serif" w:eastAsia="PT Astra Serif" w:cs="PT Astra Serif"/>
          <w:color w:val="010101"/>
          <w:sz w:val="26"/>
          <w:szCs w:val="26"/>
          <w:shd w:val="clear" w:color="auto" w:fill="ffffff"/>
        </w:rPr>
        <w:t xml:space="preserve">4 год не утверждался.</w:t>
      </w:r>
      <w:r>
        <w:rPr>
          <w:rFonts w:ascii="PT Astra Serif" w:hAnsi="PT Astra Serif" w:cs="PT Astra Serif"/>
          <w:color w:val="010101"/>
          <w:sz w:val="26"/>
          <w:szCs w:val="26"/>
          <w:shd w:val="clear" w:color="auto" w:fill="ffffff"/>
        </w:rPr>
      </w:r>
    </w:p>
    <w:p>
      <w:pPr>
        <w:pStyle w:val="680"/>
        <w:ind w:firstLine="709"/>
        <w:jc w:val="both"/>
        <w:widowControl w:val="off"/>
        <w:tabs>
          <w:tab w:val="left" w:pos="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Провед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нная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 Министерством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в 202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4 г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оду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 работа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ко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тролируем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ы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ми лицами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обязательных требований.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9"/>
        <w:jc w:val="both"/>
        <w:widowControl w:val="off"/>
        <w:tabs>
          <w:tab w:val="left" w:pos="0" w:leader="none"/>
        </w:tabs>
        <w:rPr>
          <w:rFonts w:ascii="PT Astra Serif" w:hAnsi="PT Astra Serif" w:cs="PT Astra Serif"/>
          <w:spacing w:val="1"/>
          <w:sz w:val="26"/>
          <w:szCs w:val="26"/>
        </w:rPr>
      </w:pP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Для устранения указанных рисков деятельность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 Министерства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в 202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5 г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оду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 будет с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средоточена на 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  <w:t xml:space="preserve">проведении профилактических мероприятий:</w:t>
      </w:r>
      <w:r>
        <w:rPr>
          <w:rFonts w:ascii="PT Astra Serif" w:hAnsi="PT Astra Serif" w:eastAsia="PT Astra Serif" w:cs="PT Astra Serif"/>
          <w:spacing w:val="1"/>
          <w:sz w:val="26"/>
          <w:szCs w:val="26"/>
        </w:rPr>
      </w:r>
      <w:r>
        <w:rPr>
          <w:rFonts w:ascii="PT Astra Serif" w:hAnsi="PT Astra Serif" w:cs="PT Astra Serif"/>
          <w:spacing w:val="1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) информирование;</w:t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б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) обобщение правоприменительной практики;</w:t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) объявление предостережения;</w:t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г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) консультирование;</w:t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д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) профилактический визит.</w:t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pStyle w:val="68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val="en-US" w:eastAsia="en-US"/>
        </w:rPr>
        <w:t xml:space="preserve">II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.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Цели и задачи реализации Программы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ind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1. Целями реализации Программы являются: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предупреждение нарушений обязательных требований в сфере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архивного дела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предотвращение угрозы причинения, либо причинения вреда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охраняемым законом ценностям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вследствие нарушений обязательных требов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ний;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устранение существующих и потенциальных условий, причин и факторов, спосо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ных привести к нарушению обязательных требований и угрозе причинения, либо причин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ния вреда;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формирование моделей социально ответственного, добросовестного, прав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вого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ведения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контролируемых лиц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повышение прозрачности системы контрольно-надзорной деятельности.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2. Задачами реализации Программы являются: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оценка возможной угрозы причинения, либо причинения вреда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(ущерба)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охраняемым законом ценностям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выработка и реализация профилактич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ских мер, способствующих ее снижению;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выявление факторов угрозы причинения, либо причинения вреда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(ущерба)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причин и условий, способствующих нарушению обязательных требований, опред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ление способов устранения или снижения угрозы;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контрол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руемым лицам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категорий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риска;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создание условий для изменения ценностного отношения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контролируемых лиц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регулярная ревизия обязательных требований и принятие мер к обеспечению реал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ного влияния 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подконтрольную сферу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комплекса обязательных требований, соблюдение которых составляет предмет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муниципального контроля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формирование единого понимания обязательных требований у всех участн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ков ко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трольно-надзорной деятельности;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контролируемых лиц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в том числе путем обеспеч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ния доступности информации об обязательных требованиях и необходимых мерах по их исполнению;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снижение издержек контрольно-надзорной деятельности и администрати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ной нагрузки 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контролируемых лиц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rPr>
          <w:rFonts w:ascii="PT Astra Serif" w:hAnsi="PT Astra Serif" w:cs="PT Astra Serif"/>
          <w:b/>
          <w:bCs/>
          <w:sz w:val="26"/>
          <w:szCs w:val="26"/>
          <w:highlight w:val="green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green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green"/>
        </w:rPr>
      </w:r>
    </w:p>
    <w:p>
      <w:pPr>
        <w:pStyle w:val="680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III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. 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Перечень профилактических мероприятий, сроки</w:t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80"/>
        <w:ind w:firstLine="567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(периодичность) их проведения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80"/>
        <w:ind w:firstLine="567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соответствии с Положением 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виде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регионального государственного ко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троля (надзора), утвержденном постановлением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Кабинета Министров Чувашской Республики от 8 сентября 2021 г. № 431,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проводятся следующие профилактич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ские мероприятия: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а) информирование;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б) обобщение правоприменительной практики;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в) объявление предостережения;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г) консультирование;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д) профилактический визит.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Перечень профилактических мероприятий с указанием сроков (периоди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ности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их проведения, ответственных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за их осуществление указаны в приложении к Программе.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en-US"/>
        </w:rPr>
        <w:t xml:space="preserve">IV. Показатели результативности и эффективности Программы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8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709"/>
        <w:jc w:val="both"/>
        <w:rPr>
          <w:rStyle w:val="723"/>
          <w:rFonts w:ascii="PT Astra Serif" w:hAnsi="PT Astra Serif" w:cs="PT Astra Serif"/>
          <w:i w:val="0"/>
          <w:sz w:val="26"/>
          <w:szCs w:val="26"/>
        </w:rPr>
      </w:pP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1. Для оценки результативности и эффективности Программы устанавлив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а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ются сл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е</w:t>
      </w:r>
      <w:r>
        <w:rPr>
          <w:rStyle w:val="723"/>
          <w:rFonts w:ascii="PT Astra Serif" w:hAnsi="PT Astra Serif" w:eastAsia="PT Astra Serif" w:cs="PT Astra Serif"/>
          <w:i w:val="0"/>
          <w:sz w:val="26"/>
          <w:szCs w:val="26"/>
        </w:rPr>
        <w:t xml:space="preserve">дующие показатели результативности и эффективности:</w:t>
      </w:r>
      <w:r>
        <w:rPr>
          <w:rStyle w:val="723"/>
          <w:rFonts w:ascii="PT Astra Serif" w:hAnsi="PT Astra Serif" w:cs="PT Astra Serif"/>
          <w:i w:val="0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1) доля устраненных нарушений обязательных требований в общем числе выявленных в ходе контрольных (надзорных) мероприятий нарушений обязател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ь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ных требований в течение года – 75 процентов;</w:t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pStyle w:val="680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2) доля обоснованных жалоб на действия (бездействие) Министерства и (или) его уполномоченных должностных лиц при проведении контрольных (надзорных) меропри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тий в течение года – 0 процентов.</w:t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мы включаются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Министерством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в состав доклада о виде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регионального (государственного)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контроля в соответствии со статьей 30 Федерального зак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на «О государственном контроле (надзоре) и муниципальном контроле в Российской Ф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дер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ции».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80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73"/>
        <w:gridCol w:w="1880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8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Приложение к 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рограмме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проф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лактики рисков причинения вреда (ущерба) охраняемым законом це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ностям при осуществлении реги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нального государственного ко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троля (надзора) за соблюдением з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конодательства об архивном деле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80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Перечень профилактических мероприятий, </w:t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68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сроки (периодичность) их проведения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80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tbl>
      <w:tblPr>
        <w:tblW w:w="1020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3686"/>
        <w:gridCol w:w="269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708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Вид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val="en-US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68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мероприятия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80"/>
              <w:ind w:firstLine="36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Форма мероприятия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Подразделение 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(или)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должностные лица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местной адм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нистрации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, отве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ственные за реал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зацию меропри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тия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Сроки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val="en-US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68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(пери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дичность) их пров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дения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firstLine="8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Информир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вание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роведение публичных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мер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приятий (собраний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совещ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ний, семинаров)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с контролир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емыми лицами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в целях их 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формиров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ектор архивов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мере необход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мости в 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чение года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firstLine="3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публикация на сайте рук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водств по соблюдению обяз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тельных требов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ний в сфере архивного дела при направл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нии их в адрес Министе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ства уполномоченным федерал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ным органом исполн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тельной власти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сектор архивов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 мере 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ступления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firstLine="3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размещение и поддержание в актуальном состоянии на оф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циальном сайте в сети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тернет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информации, 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речень которой предусмо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рен п. 8, 16-18, 30 Положения о виде ко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троля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сектор архивов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 мере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новления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ind w:firstLine="34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Обобщение правоприм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нительной практики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обобщение и анализ прав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применительной практики контрольной (надзорной) де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тельности в сфере архивного дела с класс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фикацией причин возникновения типовых нар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шений обязательных требов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ний и размещение утвержде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ного 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оклада о правопримен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тельной практике на офиц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альном сайте Министерства в срок, не превышающий 5 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бочих дней со дня утвержд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ния 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клада.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сектор архивов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ежегодно (не позднее 25 февраля года, сл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дующего за годом обобщения правопр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менител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ной пра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тики)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Объявление предостер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жения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объявление предостережений ко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тролируемым лицам для целей принятия мер по обе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печению соблюдения обяз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тельных требований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сектор архивов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 течение г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 (при нал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чии основ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ний)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ind w:firstLine="34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Консультир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вание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проведение должностными лицами, ответственными за делопроизво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ство и архивное дело в подконтрольных орг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низациях, консультаций по вопросам комплектования, обеспечения 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хранности и учета архивных документов. Консультирование осущест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ляется посре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ствам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личного обращения, телефо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ной связи, электронной почты, 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део-конференц-связи, при получ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нии письменного запроса - в пис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менной форме в порядке, устано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ленном Федеральным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instrText xml:space="preserve">HYPERLINK consultantplus://offline/ref=AB379AAFAA1D100E328F2BAF8EED5A2F2B76C9320D2F17931C22AAB6D3F68CA0190E3892E5C305E8C6BBD71DFE0039N </w:instrTex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законом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«О порядке рассмо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рения обращения граждан Российской Федерации», а также в ходе проведения пр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фила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тического мероприятия, контрольного (надзорного) мероприятия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сектор архивов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 течение г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 (при нал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чии основ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ний)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Профилакт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ческий визит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проведение должностными лицами Министерства инфо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мирования контролируемых лиц об обязательных требов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ниях, предъявляемых к его 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ятельности либо к принадл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жащим ему объектам муниц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пального контроля, их соо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ветствии критериям риска,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нованиях и о рек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мендуемых способах снижения 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тегории риска, а также о видах, соде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жании и об интенсивности контрольных (надзорных) 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роприятий, проводимых в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ношении объекта муниц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пального контроля, исходя из его отнесения к соответств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ющей категории ри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Обязательные профилактич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ские визиты проводятся для лиц, указа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ных в пункте 32 Полож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ния о виде контроля.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сектор архивов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профила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тические визиты подлежат провед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нию в теч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ние года (при нал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чии осн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ваний).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8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Std">
    <w:panose1 w:val="02000603000000000000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  <w:p>
    <w:pPr>
      <w:pStyle w:val="6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321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321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rPr>
      <w:sz w:val="24"/>
      <w:szCs w:val="24"/>
      <w:lang w:val="ru-RU" w:eastAsia="ru-RU" w:bidi="ar-SA"/>
    </w:rPr>
  </w:style>
  <w:style w:type="paragraph" w:styleId="681">
    <w:name w:val="Заголовок 1"/>
    <w:basedOn w:val="680"/>
    <w:next w:val="680"/>
    <w:link w:val="680"/>
    <w:qFormat/>
    <w:pPr>
      <w:keepNext/>
      <w:tabs>
        <w:tab w:val="left" w:pos="2985" w:leader="none"/>
      </w:tabs>
      <w:outlineLvl w:val="0"/>
    </w:pPr>
    <w:rPr>
      <w:b/>
      <w:bCs/>
      <w:sz w:val="32"/>
    </w:rPr>
  </w:style>
  <w:style w:type="paragraph" w:styleId="682">
    <w:name w:val="Заголовок 2"/>
    <w:basedOn w:val="680"/>
    <w:next w:val="680"/>
    <w:link w:val="680"/>
    <w:qFormat/>
    <w:pPr>
      <w:ind w:left="-360"/>
      <w:jc w:val="center"/>
      <w:keepNext/>
      <w:tabs>
        <w:tab w:val="left" w:pos="2985" w:leader="none"/>
      </w:tabs>
      <w:outlineLvl w:val="1"/>
    </w:pPr>
    <w:rPr>
      <w:b/>
      <w:bCs/>
    </w:rPr>
  </w:style>
  <w:style w:type="paragraph" w:styleId="683">
    <w:name w:val="Заголовок 3"/>
    <w:basedOn w:val="680"/>
    <w:next w:val="680"/>
    <w:link w:val="712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84">
    <w:name w:val="Основной шрифт абзаца"/>
    <w:next w:val="684"/>
    <w:link w:val="680"/>
    <w:semiHidden/>
  </w:style>
  <w:style w:type="table" w:styleId="685">
    <w:name w:val="Обычная таблица"/>
    <w:next w:val="685"/>
    <w:link w:val="680"/>
    <w:semiHidden/>
    <w:tblPr/>
  </w:style>
  <w:style w:type="numbering" w:styleId="686">
    <w:name w:val="Нет списка"/>
    <w:next w:val="686"/>
    <w:link w:val="680"/>
    <w:semiHidden/>
  </w:style>
  <w:style w:type="paragraph" w:styleId="687">
    <w:name w:val="ConsTitle"/>
    <w:next w:val="687"/>
    <w:link w:val="680"/>
    <w:pPr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88">
    <w:name w:val="ConsNormal"/>
    <w:next w:val="688"/>
    <w:link w:val="680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689">
    <w:name w:val="Основной текст с отступом 2"/>
    <w:basedOn w:val="680"/>
    <w:next w:val="689"/>
    <w:link w:val="680"/>
    <w:pPr>
      <w:ind w:firstLine="708"/>
      <w:jc w:val="both"/>
    </w:pPr>
    <w:rPr>
      <w:sz w:val="28"/>
      <w:szCs w:val="28"/>
    </w:rPr>
  </w:style>
  <w:style w:type="paragraph" w:styleId="690">
    <w:name w:val="ConsPlusNonformat"/>
    <w:next w:val="690"/>
    <w:link w:val="68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1">
    <w:name w:val="Текст выноски"/>
    <w:basedOn w:val="680"/>
    <w:next w:val="691"/>
    <w:link w:val="692"/>
    <w:uiPriority w:val="99"/>
    <w:rPr>
      <w:rFonts w:ascii="Tahoma" w:hAnsi="Tahoma" w:cs="Tahoma"/>
      <w:sz w:val="16"/>
      <w:szCs w:val="16"/>
    </w:rPr>
  </w:style>
  <w:style w:type="character" w:styleId="692">
    <w:name w:val="Текст выноски Знак"/>
    <w:next w:val="692"/>
    <w:link w:val="691"/>
    <w:uiPriority w:val="99"/>
    <w:rPr>
      <w:rFonts w:ascii="Tahoma" w:hAnsi="Tahoma" w:cs="Tahoma"/>
      <w:sz w:val="16"/>
      <w:szCs w:val="16"/>
    </w:rPr>
  </w:style>
  <w:style w:type="paragraph" w:styleId="693">
    <w:name w:val="ConsPlusNormal"/>
    <w:next w:val="693"/>
    <w:link w:val="719"/>
    <w:rPr>
      <w:sz w:val="28"/>
      <w:szCs w:val="28"/>
      <w:lang w:val="ru-RU" w:eastAsia="ru-RU" w:bidi="ar-SA"/>
    </w:rPr>
  </w:style>
  <w:style w:type="paragraph" w:styleId="694">
    <w:name w:val="Верхний колонтитул"/>
    <w:basedOn w:val="680"/>
    <w:next w:val="694"/>
    <w:link w:val="695"/>
    <w:uiPriority w:val="99"/>
    <w:pPr>
      <w:tabs>
        <w:tab w:val="center" w:pos="4677" w:leader="none"/>
        <w:tab w:val="right" w:pos="9355" w:leader="none"/>
      </w:tabs>
    </w:pPr>
  </w:style>
  <w:style w:type="character" w:styleId="695">
    <w:name w:val="Верхний колонтитул Знак"/>
    <w:next w:val="695"/>
    <w:link w:val="694"/>
    <w:uiPriority w:val="99"/>
    <w:rPr>
      <w:sz w:val="24"/>
      <w:szCs w:val="24"/>
    </w:rPr>
  </w:style>
  <w:style w:type="paragraph" w:styleId="696">
    <w:name w:val="Нижний колонтитул"/>
    <w:basedOn w:val="680"/>
    <w:next w:val="696"/>
    <w:link w:val="697"/>
    <w:uiPriority w:val="99"/>
    <w:pPr>
      <w:tabs>
        <w:tab w:val="center" w:pos="4677" w:leader="none"/>
        <w:tab w:val="right" w:pos="9355" w:leader="none"/>
      </w:tabs>
    </w:pPr>
  </w:style>
  <w:style w:type="character" w:styleId="697">
    <w:name w:val="Нижний колонтитул Знак"/>
    <w:next w:val="697"/>
    <w:link w:val="696"/>
    <w:uiPriority w:val="99"/>
    <w:rPr>
      <w:sz w:val="24"/>
      <w:szCs w:val="24"/>
    </w:rPr>
  </w:style>
  <w:style w:type="numbering" w:styleId="698">
    <w:name w:val="Нет списка1"/>
    <w:next w:val="686"/>
    <w:link w:val="680"/>
    <w:uiPriority w:val="99"/>
    <w:semiHidden/>
    <w:unhideWhenUsed/>
  </w:style>
  <w:style w:type="table" w:styleId="699">
    <w:name w:val="Сетка таблицы"/>
    <w:basedOn w:val="685"/>
    <w:next w:val="699"/>
    <w:link w:val="680"/>
    <w:uiPriority w:val="39"/>
    <w:rPr>
      <w:rFonts w:ascii="Calibri" w:hAnsi="Calibri" w:eastAsia="Calibri"/>
    </w:rPr>
    <w:tblPr/>
  </w:style>
  <w:style w:type="paragraph" w:styleId="700">
    <w:name w:val="Абзац списка"/>
    <w:basedOn w:val="680"/>
    <w:next w:val="700"/>
    <w:link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01">
    <w:name w:val="Знак примечания"/>
    <w:next w:val="701"/>
    <w:link w:val="680"/>
    <w:uiPriority w:val="99"/>
    <w:unhideWhenUsed/>
    <w:rPr>
      <w:sz w:val="16"/>
      <w:szCs w:val="16"/>
    </w:rPr>
  </w:style>
  <w:style w:type="paragraph" w:styleId="702">
    <w:name w:val="Текст примечания"/>
    <w:basedOn w:val="680"/>
    <w:next w:val="702"/>
    <w:link w:val="703"/>
    <w:uiPriority w:val="99"/>
    <w:unhideWhenUsed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703">
    <w:name w:val="Текст примечания Знак"/>
    <w:next w:val="703"/>
    <w:link w:val="702"/>
    <w:uiPriority w:val="99"/>
    <w:rPr>
      <w:rFonts w:ascii="Calibri" w:hAnsi="Calibri" w:eastAsia="Calibri"/>
      <w:lang w:eastAsia="en-US"/>
    </w:rPr>
  </w:style>
  <w:style w:type="paragraph" w:styleId="704">
    <w:name w:val="Тема примечания"/>
    <w:basedOn w:val="702"/>
    <w:next w:val="702"/>
    <w:link w:val="705"/>
    <w:uiPriority w:val="99"/>
    <w:unhideWhenUsed/>
    <w:rPr>
      <w:b/>
      <w:bCs/>
    </w:rPr>
  </w:style>
  <w:style w:type="character" w:styleId="705">
    <w:name w:val="Тема примечания Знак"/>
    <w:next w:val="705"/>
    <w:link w:val="704"/>
    <w:uiPriority w:val="99"/>
    <w:rPr>
      <w:rFonts w:ascii="Calibri" w:hAnsi="Calibri" w:eastAsia="Calibri"/>
      <w:b/>
      <w:bCs/>
      <w:lang w:eastAsia="en-US"/>
    </w:rPr>
  </w:style>
  <w:style w:type="paragraph" w:styleId="706">
    <w:name w:val="Рецензия"/>
    <w:next w:val="706"/>
    <w:link w:val="680"/>
    <w:hidden/>
    <w:uiPriority w:val="99"/>
    <w:semiHidden/>
    <w:rPr>
      <w:rFonts w:ascii="Calibri" w:hAnsi="Calibri" w:eastAsia="Calibri"/>
      <w:sz w:val="22"/>
      <w:szCs w:val="22"/>
      <w:lang w:val="ru-RU" w:eastAsia="en-US" w:bidi="ar-SA"/>
    </w:rPr>
  </w:style>
  <w:style w:type="table" w:styleId="707">
    <w:name w:val="Сетка таблицы1"/>
    <w:basedOn w:val="685"/>
    <w:next w:val="699"/>
    <w:link w:val="68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08">
    <w:name w:val="Default"/>
    <w:next w:val="708"/>
    <w:link w:val="680"/>
    <w:rPr>
      <w:rFonts w:ascii="Courier Std" w:hAnsi="Courier Std" w:cs="Courier Std"/>
      <w:color w:val="000000"/>
      <w:sz w:val="24"/>
      <w:szCs w:val="24"/>
      <w:lang w:val="ru-RU" w:eastAsia="ru-RU" w:bidi="ar-SA"/>
    </w:rPr>
  </w:style>
  <w:style w:type="table" w:styleId="709">
    <w:name w:val="Сетка таблицы2"/>
    <w:basedOn w:val="685"/>
    <w:next w:val="699"/>
    <w:link w:val="680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710">
    <w:name w:val="Сетка таблицы11"/>
    <w:basedOn w:val="685"/>
    <w:next w:val="699"/>
    <w:link w:val="68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711">
    <w:name w:val="Гиперссылка"/>
    <w:next w:val="711"/>
    <w:link w:val="680"/>
    <w:rPr>
      <w:color w:val="0563c1"/>
      <w:u w:val="single"/>
    </w:rPr>
  </w:style>
  <w:style w:type="character" w:styleId="712">
    <w:name w:val="Заголовок 3 Знак"/>
    <w:next w:val="712"/>
    <w:link w:val="6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713">
    <w:name w:val="Абзац списка Знак"/>
    <w:next w:val="713"/>
    <w:link w:val="700"/>
    <w:uiPriority w:val="34"/>
    <w:rPr>
      <w:rFonts w:ascii="Calibri" w:hAnsi="Calibri" w:eastAsia="Calibri"/>
      <w:sz w:val="22"/>
      <w:szCs w:val="22"/>
      <w:lang w:eastAsia="en-US"/>
    </w:rPr>
  </w:style>
  <w:style w:type="table" w:styleId="714">
    <w:name w:val="Сетка таблицы3"/>
    <w:basedOn w:val="685"/>
    <w:next w:val="699"/>
    <w:link w:val="680"/>
    <w:uiPriority w:val="39"/>
    <w:rPr>
      <w:rFonts w:ascii="Calibri" w:hAnsi="Calibri" w:eastAsia="Calibri"/>
    </w:rPr>
    <w:tblPr/>
  </w:style>
  <w:style w:type="table" w:styleId="715">
    <w:name w:val="Сетка таблицы28"/>
    <w:basedOn w:val="685"/>
    <w:next w:val="699"/>
    <w:link w:val="680"/>
    <w:uiPriority w:val="39"/>
    <w:rPr>
      <w:rFonts w:ascii="Calibri" w:hAnsi="Calibri" w:eastAsia="Calibri"/>
    </w:rPr>
    <w:tblPr/>
  </w:style>
  <w:style w:type="paragraph" w:styleId="716">
    <w:name w:val="ConsPlusTitle"/>
    <w:next w:val="716"/>
    <w:link w:val="680"/>
    <w:rPr>
      <w:b/>
      <w:bCs/>
      <w:sz w:val="24"/>
      <w:szCs w:val="24"/>
      <w:lang w:val="ru-RU" w:eastAsia="ru-RU" w:bidi="ar-SA"/>
    </w:rPr>
  </w:style>
  <w:style w:type="table" w:styleId="717">
    <w:name w:val="Сетка таблицы251"/>
    <w:basedOn w:val="685"/>
    <w:next w:val="699"/>
    <w:link w:val="68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718">
    <w:name w:val="Сетка таблицы261"/>
    <w:basedOn w:val="685"/>
    <w:next w:val="699"/>
    <w:link w:val="68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719">
    <w:name w:val="ConsPlusNormal Знак"/>
    <w:next w:val="719"/>
    <w:link w:val="693"/>
    <w:rPr>
      <w:sz w:val="28"/>
      <w:szCs w:val="28"/>
    </w:rPr>
  </w:style>
  <w:style w:type="paragraph" w:styleId="720">
    <w:name w:val="Текст сноски"/>
    <w:basedOn w:val="680"/>
    <w:next w:val="720"/>
    <w:link w:val="721"/>
    <w:rPr>
      <w:sz w:val="20"/>
      <w:szCs w:val="20"/>
    </w:rPr>
  </w:style>
  <w:style w:type="character" w:styleId="721">
    <w:name w:val="Текст сноски Знак"/>
    <w:basedOn w:val="684"/>
    <w:next w:val="721"/>
    <w:link w:val="720"/>
  </w:style>
  <w:style w:type="character" w:styleId="722">
    <w:name w:val="Знак сноски"/>
    <w:next w:val="722"/>
    <w:link w:val="680"/>
    <w:rPr>
      <w:vertAlign w:val="superscript"/>
    </w:rPr>
  </w:style>
  <w:style w:type="character" w:styleId="723">
    <w:name w:val="Выделение"/>
    <w:next w:val="723"/>
    <w:link w:val="680"/>
    <w:qFormat/>
    <w:rPr>
      <w:i/>
      <w:iCs/>
    </w:rPr>
  </w:style>
  <w:style w:type="paragraph" w:styleId="724">
    <w:name w:val="Заголовок"/>
    <w:basedOn w:val="680"/>
    <w:next w:val="680"/>
    <w:link w:val="725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25">
    <w:name w:val="Заголовок Знак"/>
    <w:next w:val="725"/>
    <w:link w:val="724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726">
    <w:name w:val="Обычный (веб)"/>
    <w:basedOn w:val="680"/>
    <w:next w:val="726"/>
    <w:link w:val="680"/>
    <w:uiPriority w:val="99"/>
    <w:unhideWhenUsed/>
    <w:pPr>
      <w:spacing w:before="100" w:beforeAutospacing="1" w:after="100" w:afterAutospacing="1"/>
    </w:pPr>
  </w:style>
  <w:style w:type="character" w:styleId="2274" w:default="1">
    <w:name w:val="Default Paragraph Font"/>
    <w:uiPriority w:val="1"/>
    <w:semiHidden/>
    <w:unhideWhenUsed/>
  </w:style>
  <w:style w:type="numbering" w:styleId="2275" w:default="1">
    <w:name w:val="No List"/>
    <w:uiPriority w:val="99"/>
    <w:semiHidden/>
    <w:unhideWhenUsed/>
  </w:style>
  <w:style w:type="table" w:styleId="22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roszdravnadzor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revision>5</cp:revision>
  <dcterms:created xsi:type="dcterms:W3CDTF">2023-09-29T12:53:00Z</dcterms:created>
  <dcterms:modified xsi:type="dcterms:W3CDTF">2024-11-26T13:06:47Z</dcterms:modified>
  <cp:version>917504</cp:version>
</cp:coreProperties>
</file>